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1543" w14:textId="77777777" w:rsidR="00021E6B" w:rsidRDefault="00021E6B">
      <w:pPr>
        <w:pStyle w:val="BodyA"/>
        <w:rPr>
          <w:rFonts w:ascii="Helvetica Neue" w:hAnsi="Helvetica Neue"/>
          <w:color w:val="333333"/>
          <w:u w:color="333333"/>
          <w:shd w:val="clear" w:color="auto" w:fill="FFFFFF"/>
        </w:rPr>
      </w:pPr>
    </w:p>
    <w:p w14:paraId="657676CA" w14:textId="77777777" w:rsidR="00021E6B" w:rsidRDefault="00C875A4">
      <w:pPr>
        <w:pStyle w:val="BodyA"/>
        <w:jc w:val="center"/>
        <w:rPr>
          <w:rFonts w:ascii="Helvetica Neue" w:hAnsi="Helvetica Neue"/>
          <w:b/>
          <w:bCs/>
          <w:color w:val="333333"/>
          <w:u w:color="333333"/>
          <w:shd w:val="clear" w:color="auto" w:fill="FFFFFF"/>
        </w:rPr>
      </w:pPr>
      <w:r>
        <w:rPr>
          <w:rFonts w:ascii="Helvetica Neue" w:hAnsi="Helvetica Neue"/>
          <w:noProof/>
          <w:color w:val="333333"/>
          <w:u w:color="333333"/>
          <w:shd w:val="clear" w:color="auto" w:fill="FFFFFF"/>
        </w:rPr>
        <w:drawing>
          <wp:inline distT="0" distB="0" distL="0" distR="0" wp14:anchorId="5807E961" wp14:editId="429107A1">
            <wp:extent cx="1964690" cy="16340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rcRect b="12581"/>
                    <a:stretch>
                      <a:fillRect/>
                    </a:stretch>
                  </pic:blipFill>
                  <pic:spPr>
                    <a:xfrm>
                      <a:off x="0" y="0"/>
                      <a:ext cx="1964690" cy="1634068"/>
                    </a:xfrm>
                    <a:prstGeom prst="rect">
                      <a:avLst/>
                    </a:prstGeom>
                    <a:ln w="12700" cap="flat">
                      <a:noFill/>
                      <a:miter lim="400000"/>
                    </a:ln>
                    <a:effectLst/>
                  </pic:spPr>
                </pic:pic>
              </a:graphicData>
            </a:graphic>
          </wp:inline>
        </w:drawing>
      </w:r>
    </w:p>
    <w:p w14:paraId="0CB82038" w14:textId="77777777" w:rsidR="00021E6B" w:rsidRDefault="00C875A4">
      <w:pPr>
        <w:pStyle w:val="BodyA"/>
        <w:jc w:val="center"/>
        <w:rPr>
          <w:rFonts w:ascii="Helvetica Neue" w:eastAsia="Helvetica Neue" w:hAnsi="Helvetica Neue" w:cs="Helvetica Neue"/>
          <w:color w:val="333333"/>
          <w:sz w:val="22"/>
          <w:szCs w:val="22"/>
          <w:u w:color="333333"/>
          <w:shd w:val="clear" w:color="auto" w:fill="FFFFFF"/>
        </w:rPr>
      </w:pPr>
      <w:r>
        <w:rPr>
          <w:rFonts w:ascii="Helvetica Neue" w:hAnsi="Helvetica Neue"/>
          <w:b/>
          <w:bCs/>
          <w:color w:val="333333"/>
          <w:sz w:val="22"/>
          <w:szCs w:val="22"/>
          <w:u w:color="333333"/>
          <w:shd w:val="clear" w:color="auto" w:fill="FFFFFF"/>
        </w:rPr>
        <w:t>Ageing, Communication, Technologies (ACT Project), Concordia University</w:t>
      </w:r>
    </w:p>
    <w:p w14:paraId="0EB8A8FD" w14:textId="77777777" w:rsidR="00021E6B" w:rsidRDefault="00021E6B">
      <w:pPr>
        <w:pStyle w:val="BodyA"/>
        <w:rPr>
          <w:rFonts w:ascii="Arial" w:eastAsia="Arial" w:hAnsi="Arial" w:cs="Arial"/>
          <w:b/>
          <w:bCs/>
          <w:sz w:val="22"/>
          <w:szCs w:val="22"/>
        </w:rPr>
      </w:pPr>
    </w:p>
    <w:p w14:paraId="5D379E91" w14:textId="77777777" w:rsidR="00021E6B" w:rsidRDefault="00C875A4">
      <w:pPr>
        <w:pStyle w:val="BodyA"/>
        <w:spacing w:line="336" w:lineRule="auto"/>
        <w:jc w:val="center"/>
        <w:rPr>
          <w:rFonts w:ascii="Arial" w:eastAsia="Arial" w:hAnsi="Arial" w:cs="Arial"/>
          <w:b/>
          <w:bCs/>
          <w:sz w:val="22"/>
          <w:szCs w:val="22"/>
        </w:rPr>
      </w:pPr>
      <w:bookmarkStart w:id="0" w:name="_GoBack"/>
      <w:r>
        <w:rPr>
          <w:rFonts w:ascii="Arial" w:hAnsi="Arial"/>
          <w:b/>
          <w:bCs/>
          <w:sz w:val="22"/>
          <w:szCs w:val="22"/>
        </w:rPr>
        <w:t xml:space="preserve">Intervention on </w:t>
      </w:r>
      <w:r>
        <w:rPr>
          <w:rFonts w:ascii="Arial Unicode MS" w:eastAsia="Arial Unicode MS" w:hAnsi="Arial Unicode MS" w:cs="Arial Unicode MS"/>
          <w:sz w:val="22"/>
          <w:szCs w:val="22"/>
        </w:rPr>
        <w:br/>
      </w:r>
      <w:r>
        <w:rPr>
          <w:rFonts w:ascii="Arial" w:hAnsi="Arial"/>
          <w:b/>
          <w:bCs/>
          <w:i/>
          <w:iCs/>
          <w:sz w:val="22"/>
          <w:szCs w:val="22"/>
        </w:rPr>
        <w:t>The Future of Audio and Video Programming in Canada: What Will Come Next? Phase I</w:t>
      </w:r>
    </w:p>
    <w:bookmarkEnd w:id="0"/>
    <w:p w14:paraId="39CB0468" w14:textId="77777777" w:rsidR="00021E6B" w:rsidRDefault="00C875A4">
      <w:pPr>
        <w:pStyle w:val="BodyA"/>
        <w:spacing w:line="336" w:lineRule="auto"/>
        <w:jc w:val="center"/>
        <w:rPr>
          <w:rFonts w:ascii="Arial" w:eastAsia="Arial" w:hAnsi="Arial" w:cs="Arial"/>
          <w:sz w:val="22"/>
          <w:szCs w:val="22"/>
        </w:rPr>
      </w:pPr>
      <w:r>
        <w:rPr>
          <w:rFonts w:ascii="Arial" w:hAnsi="Arial"/>
          <w:sz w:val="22"/>
          <w:szCs w:val="22"/>
        </w:rPr>
        <w:t>CRTC Notice 2017-359</w:t>
      </w:r>
    </w:p>
    <w:p w14:paraId="3C74DA8E" w14:textId="77777777" w:rsidR="00021E6B" w:rsidRDefault="00C875A4">
      <w:pPr>
        <w:pStyle w:val="BodyA"/>
        <w:spacing w:line="336" w:lineRule="auto"/>
        <w:jc w:val="center"/>
      </w:pPr>
      <w:r>
        <w:rPr>
          <w:rFonts w:ascii="Arial" w:hAnsi="Arial"/>
          <w:sz w:val="22"/>
          <w:szCs w:val="22"/>
        </w:rPr>
        <w:t>December 1, 2017</w:t>
      </w:r>
    </w:p>
    <w:p w14:paraId="69F14C14" w14:textId="77777777" w:rsidR="00021E6B" w:rsidRDefault="00021E6B">
      <w:pPr>
        <w:pStyle w:val="BodyB"/>
        <w:rPr>
          <w:sz w:val="22"/>
          <w:szCs w:val="22"/>
        </w:rPr>
      </w:pPr>
    </w:p>
    <w:p w14:paraId="69009AF1" w14:textId="77777777" w:rsidR="00021E6B" w:rsidRDefault="00021E6B">
      <w:pPr>
        <w:pStyle w:val="BodyB"/>
        <w:rPr>
          <w:sz w:val="22"/>
          <w:szCs w:val="22"/>
        </w:rPr>
      </w:pPr>
    </w:p>
    <w:p w14:paraId="5744FD2B" w14:textId="77777777" w:rsidR="00021E6B" w:rsidRDefault="00021E6B">
      <w:pPr>
        <w:pStyle w:val="BodyB"/>
        <w:rPr>
          <w:sz w:val="22"/>
          <w:szCs w:val="22"/>
        </w:rPr>
      </w:pPr>
    </w:p>
    <w:p w14:paraId="0CB150DD" w14:textId="77777777" w:rsidR="00021E6B" w:rsidRDefault="00021E6B">
      <w:pPr>
        <w:pStyle w:val="BodyB"/>
        <w:rPr>
          <w:sz w:val="22"/>
          <w:szCs w:val="22"/>
        </w:rPr>
      </w:pPr>
    </w:p>
    <w:p w14:paraId="0977D387" w14:textId="77777777" w:rsidR="00021E6B" w:rsidRDefault="00C875A4">
      <w:pPr>
        <w:pStyle w:val="BodyB"/>
      </w:pPr>
      <w:r>
        <w:rPr>
          <w:rFonts w:ascii="Arial" w:hAnsi="Arial"/>
          <w:b/>
          <w:bCs/>
        </w:rPr>
        <w:t>Intervenors:</w:t>
      </w:r>
    </w:p>
    <w:p w14:paraId="54FAA015" w14:textId="77777777" w:rsidR="00021E6B" w:rsidRDefault="00021E6B">
      <w:pPr>
        <w:pStyle w:val="BodyB"/>
      </w:pPr>
    </w:p>
    <w:p w14:paraId="2DDC2EC1" w14:textId="77777777" w:rsidR="00021E6B" w:rsidRDefault="00C875A4">
      <w:pPr>
        <w:pStyle w:val="BodyB"/>
        <w:rPr>
          <w:rFonts w:ascii="Arial" w:eastAsia="Arial" w:hAnsi="Arial" w:cs="Arial"/>
        </w:rPr>
      </w:pPr>
      <w:r>
        <w:rPr>
          <w:rFonts w:ascii="Arial" w:hAnsi="Arial"/>
        </w:rPr>
        <w:t xml:space="preserve">Dr. Kim </w:t>
      </w:r>
      <w:proofErr w:type="spellStart"/>
      <w:r>
        <w:rPr>
          <w:rFonts w:ascii="Arial" w:hAnsi="Arial"/>
        </w:rPr>
        <w:t>Sawchuk</w:t>
      </w:r>
      <w:proofErr w:type="spellEnd"/>
      <w:r>
        <w:rPr>
          <w:rFonts w:ascii="Arial" w:hAnsi="Arial"/>
        </w:rPr>
        <w:t>, Director of ACT Project, Concordia University</w:t>
      </w:r>
    </w:p>
    <w:p w14:paraId="72FA75E1" w14:textId="77777777" w:rsidR="00021E6B" w:rsidRDefault="00C875A4">
      <w:pPr>
        <w:pStyle w:val="BodyB"/>
      </w:pPr>
      <w:r>
        <w:rPr>
          <w:rFonts w:ascii="Arial" w:hAnsi="Arial"/>
        </w:rPr>
        <w:t xml:space="preserve">Dr. Martine </w:t>
      </w:r>
      <w:proofErr w:type="spellStart"/>
      <w:r>
        <w:rPr>
          <w:rFonts w:ascii="Arial" w:hAnsi="Arial"/>
        </w:rPr>
        <w:t>Lagacé</w:t>
      </w:r>
      <w:proofErr w:type="spellEnd"/>
      <w:r>
        <w:rPr>
          <w:rFonts w:ascii="Arial" w:hAnsi="Arial"/>
        </w:rPr>
        <w:t>, University of Ottawa</w:t>
      </w:r>
    </w:p>
    <w:p w14:paraId="0D893BCB" w14:textId="77777777" w:rsidR="00021E6B" w:rsidRDefault="00C875A4">
      <w:pPr>
        <w:pStyle w:val="BodyB"/>
      </w:pPr>
      <w:r>
        <w:rPr>
          <w:rFonts w:ascii="Arial" w:hAnsi="Arial"/>
        </w:rPr>
        <w:t>Constance Lafontaine, Associate Director of ACT Project, Concordia University</w:t>
      </w:r>
    </w:p>
    <w:p w14:paraId="64C78262" w14:textId="77777777" w:rsidR="00021E6B" w:rsidRDefault="00C875A4">
      <w:pPr>
        <w:pStyle w:val="BodyB"/>
        <w:rPr>
          <w:rFonts w:ascii="Arial" w:eastAsia="Arial" w:hAnsi="Arial" w:cs="Arial"/>
          <w:lang w:val="sv-SE"/>
        </w:rPr>
      </w:pPr>
      <w:proofErr w:type="spellStart"/>
      <w:r>
        <w:rPr>
          <w:rFonts w:ascii="Arial" w:hAnsi="Arial"/>
          <w:lang w:val="sv-SE"/>
        </w:rPr>
        <w:t>Kendra</w:t>
      </w:r>
      <w:proofErr w:type="spellEnd"/>
      <w:r>
        <w:rPr>
          <w:rFonts w:ascii="Arial" w:hAnsi="Arial"/>
          <w:lang w:val="sv-SE"/>
        </w:rPr>
        <w:t xml:space="preserve"> </w:t>
      </w:r>
      <w:proofErr w:type="spellStart"/>
      <w:r>
        <w:rPr>
          <w:rFonts w:ascii="Arial" w:hAnsi="Arial"/>
          <w:lang w:val="sv-SE"/>
        </w:rPr>
        <w:t>Besanger</w:t>
      </w:r>
      <w:proofErr w:type="spellEnd"/>
      <w:r>
        <w:rPr>
          <w:rFonts w:ascii="Arial" w:hAnsi="Arial"/>
          <w:lang w:val="sv-SE"/>
        </w:rPr>
        <w:t>, ACT Project, Concordia University</w:t>
      </w:r>
    </w:p>
    <w:p w14:paraId="54E1C6D0"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proofErr w:type="spellStart"/>
      <w:r>
        <w:rPr>
          <w:rFonts w:ascii="Arial" w:hAnsi="Arial"/>
        </w:rPr>
        <w:t>Lise</w:t>
      </w:r>
      <w:proofErr w:type="spellEnd"/>
      <w:r>
        <w:rPr>
          <w:rFonts w:ascii="Arial" w:hAnsi="Arial"/>
        </w:rPr>
        <w:t xml:space="preserve"> Van de </w:t>
      </w:r>
      <w:proofErr w:type="spellStart"/>
      <w:r>
        <w:rPr>
          <w:rFonts w:ascii="Arial" w:hAnsi="Arial"/>
        </w:rPr>
        <w:t>Beeck</w:t>
      </w:r>
      <w:proofErr w:type="spellEnd"/>
      <w:r>
        <w:rPr>
          <w:rFonts w:ascii="Arial" w:hAnsi="Arial"/>
        </w:rPr>
        <w:t>, University of Ottawa</w:t>
      </w:r>
    </w:p>
    <w:p w14:paraId="7494F1E6"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sz w:val="22"/>
          <w:szCs w:val="22"/>
        </w:rPr>
      </w:pPr>
    </w:p>
    <w:p w14:paraId="11110AAE"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sz w:val="22"/>
          <w:szCs w:val="22"/>
        </w:rPr>
      </w:pPr>
    </w:p>
    <w:p w14:paraId="55D36E15"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sz w:val="22"/>
          <w:szCs w:val="22"/>
        </w:rPr>
      </w:pPr>
    </w:p>
    <w:p w14:paraId="2B32F04D"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p>
    <w:p w14:paraId="5C397730"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1.0</w:t>
      </w:r>
      <w:r>
        <w:rPr>
          <w:rFonts w:ascii="Arial" w:hAnsi="Arial"/>
        </w:rPr>
        <w:t xml:space="preserve"> Executive Summary</w:t>
      </w:r>
    </w:p>
    <w:p w14:paraId="239E55A4"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2.0</w:t>
      </w:r>
      <w:r>
        <w:rPr>
          <w:rFonts w:ascii="Arial" w:hAnsi="Arial"/>
        </w:rPr>
        <w:t xml:space="preserve"> Introduction</w:t>
      </w:r>
    </w:p>
    <w:p w14:paraId="0C4828F5"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3.0</w:t>
      </w:r>
      <w:r>
        <w:rPr>
          <w:rFonts w:ascii="Arial" w:hAnsi="Arial"/>
        </w:rPr>
        <w:t xml:space="preserve"> Key Preliminary Findings</w:t>
      </w:r>
    </w:p>
    <w:p w14:paraId="4757F135"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 xml:space="preserve">4.0 </w:t>
      </w:r>
      <w:r>
        <w:rPr>
          <w:rFonts w:ascii="Arial" w:hAnsi="Arial"/>
        </w:rPr>
        <w:t>Future Steps</w:t>
      </w:r>
    </w:p>
    <w:p w14:paraId="13CD4C8F"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5.0</w:t>
      </w:r>
      <w:r>
        <w:rPr>
          <w:rFonts w:ascii="Arial" w:hAnsi="Arial"/>
        </w:rPr>
        <w:t xml:space="preserve"> Preliminary Recommendations</w:t>
      </w:r>
    </w:p>
    <w:p w14:paraId="45FEB64F"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6.0</w:t>
      </w:r>
      <w:r>
        <w:rPr>
          <w:rFonts w:ascii="Arial" w:hAnsi="Arial"/>
        </w:rPr>
        <w:t xml:space="preserve"> Bibliography</w:t>
      </w:r>
    </w:p>
    <w:p w14:paraId="57A4BC8E"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rPr>
      </w:pPr>
      <w:r>
        <w:rPr>
          <w:rFonts w:ascii="Arial" w:hAnsi="Arial"/>
          <w:b/>
          <w:bCs/>
        </w:rPr>
        <w:t>7.0</w:t>
      </w:r>
      <w:r>
        <w:rPr>
          <w:rFonts w:ascii="Arial" w:hAnsi="Arial"/>
        </w:rPr>
        <w:t xml:space="preserve"> Appendix A: Aging, Communication and Technologies’ Longitudinal Study on Older Media Audiences</w:t>
      </w:r>
    </w:p>
    <w:p w14:paraId="65E274D7"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rPr>
          <w:rFonts w:ascii="Arial" w:eastAsia="Arial" w:hAnsi="Arial" w:cs="Arial"/>
          <w:b/>
          <w:bCs/>
        </w:rPr>
      </w:pPr>
      <w:r>
        <w:rPr>
          <w:rFonts w:ascii="Arial" w:hAnsi="Arial"/>
          <w:b/>
          <w:bCs/>
        </w:rPr>
        <w:lastRenderedPageBreak/>
        <w:t>1.0 Executive Summary</w:t>
      </w:r>
    </w:p>
    <w:p w14:paraId="3BA95378" w14:textId="77777777" w:rsidR="00021E6B" w:rsidRDefault="00021E6B">
      <w:pPr>
        <w:pStyle w:val="BodyB"/>
        <w:rPr>
          <w:rFonts w:ascii="Arial" w:eastAsia="Arial" w:hAnsi="Arial" w:cs="Arial"/>
          <w:b/>
          <w:bCs/>
        </w:rPr>
      </w:pPr>
    </w:p>
    <w:p w14:paraId="69F3E3A1" w14:textId="77777777" w:rsidR="00021E6B" w:rsidRDefault="00C875A4">
      <w:pPr>
        <w:pStyle w:val="BodyB"/>
        <w:rPr>
          <w:rFonts w:ascii="Arial" w:eastAsia="Arial" w:hAnsi="Arial" w:cs="Arial"/>
          <w:b/>
          <w:bCs/>
        </w:rPr>
      </w:pPr>
      <w:r>
        <w:rPr>
          <w:rFonts w:ascii="Arial" w:hAnsi="Arial"/>
          <w:b/>
          <w:bCs/>
        </w:rPr>
        <w:t xml:space="preserve">Our key </w:t>
      </w:r>
      <w:r w:rsidR="009F1601">
        <w:rPr>
          <w:rFonts w:ascii="Arial" w:hAnsi="Arial"/>
          <w:b/>
          <w:bCs/>
        </w:rPr>
        <w:t xml:space="preserve">preliminary </w:t>
      </w:r>
      <w:r>
        <w:rPr>
          <w:rFonts w:ascii="Arial" w:hAnsi="Arial"/>
          <w:b/>
          <w:bCs/>
        </w:rPr>
        <w:t xml:space="preserve">findings in this </w:t>
      </w:r>
      <w:r w:rsidR="009F1601">
        <w:rPr>
          <w:rFonts w:ascii="Arial" w:hAnsi="Arial"/>
          <w:b/>
          <w:bCs/>
        </w:rPr>
        <w:t>first phase of</w:t>
      </w:r>
      <w:r>
        <w:rPr>
          <w:rFonts w:ascii="Arial" w:hAnsi="Arial"/>
          <w:b/>
          <w:bCs/>
        </w:rPr>
        <w:t xml:space="preserve"> intervention, as outlined in detail below, are as follows:</w:t>
      </w:r>
    </w:p>
    <w:p w14:paraId="4C708ACD" w14:textId="77777777" w:rsidR="00021E6B" w:rsidRDefault="00021E6B">
      <w:pPr>
        <w:pStyle w:val="BodyB"/>
      </w:pPr>
    </w:p>
    <w:p w14:paraId="1489C938" w14:textId="77777777" w:rsidR="00021E6B" w:rsidRPr="009F1601" w:rsidRDefault="00C875A4" w:rsidP="009F1601">
      <w:pPr>
        <w:pStyle w:val="BodyB"/>
        <w:numPr>
          <w:ilvl w:val="0"/>
          <w:numId w:val="6"/>
        </w:numPr>
        <w:rPr>
          <w:rFonts w:ascii="Arial" w:eastAsia="Arial" w:hAnsi="Arial" w:cs="Arial"/>
        </w:rPr>
      </w:pPr>
      <w:r>
        <w:rPr>
          <w:rFonts w:ascii="Arial" w:hAnsi="Arial"/>
        </w:rPr>
        <w:t>Older adults</w:t>
      </w:r>
      <w:r w:rsidR="009F1601">
        <w:rPr>
          <w:rFonts w:ascii="Arial" w:hAnsi="Arial"/>
        </w:rPr>
        <w:t xml:space="preserve"> (65+)</w:t>
      </w:r>
      <w:r>
        <w:rPr>
          <w:rFonts w:ascii="Arial" w:hAnsi="Arial"/>
        </w:rPr>
        <w:t xml:space="preserve"> tend to rely on television sets and radios to access information and entertainment rather than computers, tablets, or smart phones</w:t>
      </w:r>
    </w:p>
    <w:p w14:paraId="04F92EA8" w14:textId="77777777" w:rsidR="009F1601" w:rsidRDefault="009F1601" w:rsidP="009F1601">
      <w:pPr>
        <w:pStyle w:val="BodyB"/>
        <w:numPr>
          <w:ilvl w:val="0"/>
          <w:numId w:val="6"/>
        </w:numPr>
        <w:rPr>
          <w:rFonts w:ascii="Arial" w:eastAsia="Arial" w:hAnsi="Arial" w:cs="Arial"/>
        </w:rPr>
      </w:pPr>
      <w:r>
        <w:rPr>
          <w:rFonts w:ascii="Arial" w:hAnsi="Arial"/>
        </w:rPr>
        <w:t xml:space="preserve">Older adults are not a homogeneous group. There is an emerging difference between the media practices, related to digital distribution of the </w:t>
      </w:r>
      <w:r>
        <w:rPr>
          <w:rFonts w:ascii="Arial" w:hAnsi="Arial"/>
          <w:i/>
          <w:iCs/>
        </w:rPr>
        <w:t xml:space="preserve">younger old </w:t>
      </w:r>
      <w:r>
        <w:rPr>
          <w:rFonts w:ascii="Arial" w:hAnsi="Arial"/>
        </w:rPr>
        <w:t xml:space="preserve">(60-64) and those who are older. </w:t>
      </w:r>
    </w:p>
    <w:p w14:paraId="667F972E" w14:textId="77777777" w:rsidR="009F1601" w:rsidRDefault="009F1601" w:rsidP="009F1601">
      <w:pPr>
        <w:pStyle w:val="BodyB"/>
        <w:numPr>
          <w:ilvl w:val="0"/>
          <w:numId w:val="6"/>
        </w:numPr>
        <w:rPr>
          <w:rFonts w:ascii="Arial" w:eastAsia="Arial" w:hAnsi="Arial" w:cs="Arial"/>
        </w:rPr>
      </w:pPr>
      <w:r>
        <w:rPr>
          <w:rFonts w:ascii="Arial" w:eastAsia="Arial" w:hAnsi="Arial" w:cs="Arial"/>
        </w:rPr>
        <w:t>There are differences in the media consumptions of older adults correlating to income and education. Older adults in higher socioeconomic brackets with higher education are more likely to use online platforms for watching television and listening to radio.</w:t>
      </w:r>
    </w:p>
    <w:p w14:paraId="47D7A9BC" w14:textId="77777777" w:rsidR="00021E6B" w:rsidRPr="009F1601" w:rsidRDefault="009F1601" w:rsidP="009F1601">
      <w:pPr>
        <w:pStyle w:val="BodyB"/>
        <w:numPr>
          <w:ilvl w:val="0"/>
          <w:numId w:val="6"/>
        </w:numPr>
        <w:rPr>
          <w:rFonts w:ascii="Arial" w:eastAsia="Arial" w:hAnsi="Arial" w:cs="Arial"/>
        </w:rPr>
      </w:pPr>
      <w:r>
        <w:rPr>
          <w:rFonts w:ascii="Arial" w:hAnsi="Arial"/>
        </w:rPr>
        <w:t>Recent shifts in distribution models have impacted the ways older adults</w:t>
      </w:r>
      <w:r>
        <w:rPr>
          <w:rFonts w:ascii="Arial" w:hAnsi="Arial"/>
          <w:lang w:val="nl-NL"/>
        </w:rPr>
        <w:t xml:space="preserve"> </w:t>
      </w:r>
      <w:proofErr w:type="spellStart"/>
      <w:r>
        <w:rPr>
          <w:rFonts w:ascii="Arial" w:hAnsi="Arial"/>
          <w:lang w:val="nl-NL"/>
        </w:rPr>
        <w:t>watch</w:t>
      </w:r>
      <w:proofErr w:type="spellEnd"/>
      <w:r>
        <w:rPr>
          <w:rFonts w:ascii="Arial" w:hAnsi="Arial"/>
          <w:lang w:val="nl-NL"/>
        </w:rPr>
        <w:t xml:space="preserve"> </w:t>
      </w:r>
      <w:proofErr w:type="spellStart"/>
      <w:r>
        <w:rPr>
          <w:rFonts w:ascii="Arial" w:hAnsi="Arial"/>
          <w:lang w:val="nl-NL"/>
        </w:rPr>
        <w:t>television</w:t>
      </w:r>
      <w:proofErr w:type="spellEnd"/>
    </w:p>
    <w:p w14:paraId="37976BF6" w14:textId="77777777" w:rsidR="00021E6B" w:rsidRPr="009F1601" w:rsidRDefault="00C875A4" w:rsidP="009F1601">
      <w:pPr>
        <w:pStyle w:val="BodyB"/>
        <w:numPr>
          <w:ilvl w:val="0"/>
          <w:numId w:val="6"/>
        </w:numPr>
        <w:rPr>
          <w:rFonts w:ascii="Arial" w:eastAsia="Arial" w:hAnsi="Arial" w:cs="Arial"/>
        </w:rPr>
      </w:pPr>
      <w:r>
        <w:rPr>
          <w:rFonts w:ascii="Arial" w:hAnsi="Arial"/>
        </w:rPr>
        <w:t>Older adults prefer scheduled and consistent programming over on-demand options</w:t>
      </w:r>
    </w:p>
    <w:p w14:paraId="47158DF7" w14:textId="77777777" w:rsidR="00021E6B" w:rsidRPr="009F1601" w:rsidRDefault="00C875A4" w:rsidP="009F1601">
      <w:pPr>
        <w:pStyle w:val="BodyB"/>
        <w:numPr>
          <w:ilvl w:val="0"/>
          <w:numId w:val="6"/>
        </w:numPr>
        <w:rPr>
          <w:rFonts w:ascii="Arial" w:eastAsia="Arial" w:hAnsi="Arial" w:cs="Arial"/>
        </w:rPr>
      </w:pPr>
      <w:r>
        <w:rPr>
          <w:rFonts w:ascii="Arial" w:hAnsi="Arial"/>
        </w:rPr>
        <w:t>Older adults stress that access to information is a key part of citizenship</w:t>
      </w:r>
    </w:p>
    <w:p w14:paraId="20F40F27" w14:textId="77777777" w:rsidR="00021E6B" w:rsidRPr="009F1601" w:rsidRDefault="00C875A4" w:rsidP="009F1601">
      <w:pPr>
        <w:pStyle w:val="BodyB"/>
        <w:numPr>
          <w:ilvl w:val="0"/>
          <w:numId w:val="6"/>
        </w:numPr>
        <w:rPr>
          <w:rFonts w:ascii="Arial" w:eastAsia="Arial" w:hAnsi="Arial" w:cs="Arial"/>
        </w:rPr>
      </w:pPr>
      <w:r>
        <w:rPr>
          <w:rFonts w:ascii="Arial" w:hAnsi="Arial"/>
        </w:rPr>
        <w:t>Current pricing and conduct by service providers put older adults at a disadvantage</w:t>
      </w:r>
    </w:p>
    <w:p w14:paraId="4DF61D83" w14:textId="77777777" w:rsidR="00021E6B" w:rsidRPr="009F1601" w:rsidRDefault="00C875A4" w:rsidP="009F1601">
      <w:pPr>
        <w:pStyle w:val="BodyB"/>
        <w:numPr>
          <w:ilvl w:val="0"/>
          <w:numId w:val="6"/>
        </w:numPr>
        <w:rPr>
          <w:rFonts w:ascii="Arial" w:eastAsia="Arial" w:hAnsi="Arial" w:cs="Arial"/>
        </w:rPr>
      </w:pPr>
      <w:r w:rsidRPr="009F1601">
        <w:rPr>
          <w:rFonts w:ascii="Arial" w:hAnsi="Arial"/>
        </w:rPr>
        <w:t>Older adults are concerned about media representations of aging</w:t>
      </w:r>
    </w:p>
    <w:p w14:paraId="75D71C54" w14:textId="77777777" w:rsidR="009F1601" w:rsidRDefault="009F1601" w:rsidP="009F1601">
      <w:pPr>
        <w:pStyle w:val="BodyB"/>
        <w:ind w:left="393"/>
      </w:pPr>
    </w:p>
    <w:p w14:paraId="5866B860" w14:textId="77777777" w:rsidR="00021E6B" w:rsidRDefault="00C875A4">
      <w:pPr>
        <w:pStyle w:val="BodyB"/>
        <w:tabs>
          <w:tab w:val="left" w:pos="720"/>
        </w:tabs>
        <w:rPr>
          <w:rFonts w:ascii="Arial" w:eastAsia="Arial" w:hAnsi="Arial" w:cs="Arial"/>
          <w:b/>
          <w:bCs/>
        </w:rPr>
      </w:pPr>
      <w:r>
        <w:rPr>
          <w:rFonts w:ascii="Arial" w:hAnsi="Arial"/>
          <w:b/>
          <w:bCs/>
        </w:rPr>
        <w:t>2.0 Introduction</w:t>
      </w:r>
    </w:p>
    <w:p w14:paraId="77BC306F" w14:textId="77777777" w:rsidR="00021E6B" w:rsidRDefault="00021E6B">
      <w:pPr>
        <w:pStyle w:val="BodyB"/>
      </w:pPr>
    </w:p>
    <w:p w14:paraId="099B124E" w14:textId="77777777" w:rsidR="00021E6B" w:rsidRDefault="00C875A4">
      <w:pPr>
        <w:pStyle w:val="BodyB"/>
      </w:pPr>
      <w:r>
        <w:rPr>
          <w:rFonts w:ascii="Arial" w:hAnsi="Arial"/>
        </w:rPr>
        <w:t>We are submitting this report as an intervention in the “Call for comments on the Governor in Council’s request for a report on future programming distribution models” (CRTC-2017-359) and thereby indicating our intent to provide expertise on the ways in which future changes to audio and video distribution will impact seniors’ aged 60+ (we will refer to this group as older adults from this point on) access to programming. We emphasize the importance of taking older adults’ needs into account before decisions are made about the future of audio and video distribution models, especially considering that Canadian older adults currently outnumber Canadian children.</w:t>
      </w:r>
      <w:r>
        <w:rPr>
          <w:rFonts w:eastAsia="Arial Unicode MS" w:cs="Arial Unicode MS"/>
        </w:rPr>
        <w:t xml:space="preserve"> </w:t>
      </w:r>
      <w:r>
        <w:rPr>
          <w:rFonts w:ascii="Arial" w:hAnsi="Arial"/>
        </w:rPr>
        <w:t>We are submitting this report as an initial intervention with the intent of submitting a more comprehensive report in Phase II.</w:t>
      </w:r>
    </w:p>
    <w:p w14:paraId="1D19F71B" w14:textId="77777777" w:rsidR="00021E6B" w:rsidRDefault="00021E6B">
      <w:pPr>
        <w:pStyle w:val="BodyB"/>
      </w:pPr>
    </w:p>
    <w:p w14:paraId="08298634" w14:textId="77777777" w:rsidR="00021E6B" w:rsidRDefault="00021E6B">
      <w:pPr>
        <w:pStyle w:val="BodyB"/>
      </w:pPr>
    </w:p>
    <w:p w14:paraId="3C0E1FA1" w14:textId="77777777" w:rsidR="00021E6B" w:rsidRDefault="00C875A4">
      <w:pPr>
        <w:pStyle w:val="BodyB"/>
      </w:pPr>
      <w:r>
        <w:rPr>
          <w:rFonts w:ascii="Arial" w:hAnsi="Arial"/>
          <w:b/>
          <w:bCs/>
        </w:rPr>
        <w:t>2.1 Ageing, Communication, Technologies (ACT)</w:t>
      </w:r>
    </w:p>
    <w:p w14:paraId="04E039CF" w14:textId="77777777" w:rsidR="00021E6B" w:rsidRDefault="00021E6B">
      <w:pPr>
        <w:pStyle w:val="BodyB"/>
      </w:pPr>
    </w:p>
    <w:p w14:paraId="29167744" w14:textId="77777777" w:rsidR="00021E6B" w:rsidRDefault="00C875A4">
      <w:pPr>
        <w:pStyle w:val="BodyB"/>
      </w:pPr>
      <w:r>
        <w:rPr>
          <w:rFonts w:ascii="Arial" w:hAnsi="Arial"/>
        </w:rPr>
        <w:t xml:space="preserve">Ageing, Communication, Technologies (ACT— www.actproject.ca) is a multi-methodological research project funded by the Social Sciences and Humanities Research Council (SSHRC) and hosted at Concordia University that brings together researchers and institutional and community partners to address the transformation of the experiences of ageing with the proliferation of new forms of mediated communications in networked societies. ACT is comprised of researchers investigating </w:t>
      </w:r>
      <w:r>
        <w:rPr>
          <w:rFonts w:ascii="Arial" w:hAnsi="Arial"/>
        </w:rPr>
        <w:lastRenderedPageBreak/>
        <w:t xml:space="preserve">how ‘digital ageism’ – the individual and systemic biases that create forms of inclusion and exclusion that are age-related – operates in subtle ways. </w:t>
      </w:r>
    </w:p>
    <w:p w14:paraId="5DEA46F7" w14:textId="77777777" w:rsidR="00021E6B" w:rsidRDefault="00021E6B">
      <w:pPr>
        <w:pStyle w:val="BodyB"/>
      </w:pPr>
    </w:p>
    <w:p w14:paraId="7FB154B5" w14:textId="77777777" w:rsidR="00021E6B" w:rsidRDefault="00C875A4">
      <w:pPr>
        <w:pStyle w:val="BodyB"/>
      </w:pPr>
      <w:r>
        <w:rPr>
          <w:rFonts w:ascii="Arial" w:hAnsi="Arial"/>
        </w:rPr>
        <w:t xml:space="preserve">The world’s population is ageing. One in four people is expected to be over the age of 65 in the next two decades, making ‘the senior citizen’ the largest demographic group in the Western world. At the same time that we are expected to live longer, there has been a proliferation of digital devices, information technologies and mediated systems of communication that network populations globally. There is a need to take into account older adults’ experiences and needs when defining future policy in relation to broadcasting distribution models. </w:t>
      </w:r>
    </w:p>
    <w:p w14:paraId="510BA1EF" w14:textId="77777777" w:rsidR="00021E6B" w:rsidRDefault="00021E6B">
      <w:pPr>
        <w:pStyle w:val="BodyB"/>
        <w:spacing w:after="240"/>
      </w:pPr>
    </w:p>
    <w:p w14:paraId="4650232B" w14:textId="77777777" w:rsidR="00021E6B" w:rsidRDefault="00C875A4">
      <w:pPr>
        <w:pStyle w:val="BodyB"/>
        <w:rPr>
          <w:rFonts w:ascii="Arial" w:eastAsia="Arial" w:hAnsi="Arial" w:cs="Arial"/>
          <w:b/>
          <w:bCs/>
        </w:rPr>
      </w:pPr>
      <w:r>
        <w:rPr>
          <w:rFonts w:ascii="Arial" w:hAnsi="Arial"/>
          <w:b/>
          <w:bCs/>
        </w:rPr>
        <w:t>2.2 Methodology</w:t>
      </w:r>
    </w:p>
    <w:p w14:paraId="0B61FE31" w14:textId="77777777" w:rsidR="00021E6B" w:rsidRDefault="00021E6B">
      <w:pPr>
        <w:pStyle w:val="BodyB"/>
      </w:pPr>
    </w:p>
    <w:p w14:paraId="496161E9" w14:textId="77777777" w:rsidR="00021E6B" w:rsidRDefault="00C875A4">
      <w:pPr>
        <w:pStyle w:val="BodyB"/>
        <w:rPr>
          <w:rFonts w:ascii="Arial" w:eastAsia="Arial" w:hAnsi="Arial" w:cs="Arial"/>
        </w:rPr>
      </w:pPr>
      <w:r>
        <w:rPr>
          <w:rFonts w:ascii="Arial" w:hAnsi="Arial"/>
        </w:rPr>
        <w:t>This report draws from data gathered in two ways. First, we draw from a pilot focus group with six older wome</w:t>
      </w:r>
      <w:r w:rsidRPr="009F1601">
        <w:rPr>
          <w:rFonts w:ascii="Arial" w:hAnsi="Arial"/>
        </w:rPr>
        <w:t xml:space="preserve">n </w:t>
      </w:r>
      <w:r w:rsidRPr="009F1601">
        <w:rPr>
          <w:rFonts w:ascii="Arial" w:hAnsi="Arial"/>
          <w:bCs/>
        </w:rPr>
        <w:t>65+</w:t>
      </w:r>
      <w:r>
        <w:rPr>
          <w:rFonts w:ascii="Arial" w:hAnsi="Arial"/>
        </w:rPr>
        <w:t xml:space="preserve"> from diverse ethno cultural backgrounds, all of whom belong to minority groups living in Montréal. We asked them to reflect on their consumption and uses of television and radio, and the ways in which these have changed over the </w:t>
      </w:r>
      <w:r w:rsidR="009F1601">
        <w:rPr>
          <w:rFonts w:ascii="Arial" w:hAnsi="Arial"/>
        </w:rPr>
        <w:t>last decade</w:t>
      </w:r>
      <w:r>
        <w:rPr>
          <w:rFonts w:ascii="Arial" w:hAnsi="Arial"/>
        </w:rPr>
        <w:t xml:space="preserve">. </w:t>
      </w:r>
    </w:p>
    <w:p w14:paraId="37F605C1" w14:textId="77777777" w:rsidR="00021E6B" w:rsidRDefault="00021E6B">
      <w:pPr>
        <w:pStyle w:val="BodyB"/>
        <w:rPr>
          <w:rFonts w:ascii="Arial" w:eastAsia="Arial" w:hAnsi="Arial" w:cs="Arial"/>
        </w:rPr>
      </w:pPr>
    </w:p>
    <w:p w14:paraId="74479C58" w14:textId="77777777" w:rsidR="00021E6B" w:rsidRDefault="00C875A4">
      <w:pPr>
        <w:pStyle w:val="BodyB"/>
        <w:rPr>
          <w:rFonts w:ascii="Arial" w:eastAsia="Arial" w:hAnsi="Arial" w:cs="Arial"/>
        </w:rPr>
      </w:pPr>
      <w:r>
        <w:rPr>
          <w:rFonts w:ascii="Arial" w:hAnsi="Arial"/>
          <w:lang w:val="nl-NL"/>
        </w:rPr>
        <w:t xml:space="preserve">Second, we </w:t>
      </w:r>
      <w:r>
        <w:rPr>
          <w:rFonts w:ascii="Arial" w:hAnsi="Arial"/>
        </w:rPr>
        <w:t xml:space="preserve">have included findings from surveys conducted as part of the first wave of a large scale cross-national longitudinal study exploring the ways older adults in Canada use traditional and new media/technology. Some 3,560 Canadian older adults responded to a 30-question survey during the first wave of data collection, which took place in 2017. </w:t>
      </w:r>
    </w:p>
    <w:p w14:paraId="7A45D6FF" w14:textId="77777777" w:rsidR="00021E6B" w:rsidRDefault="00021E6B">
      <w:pPr>
        <w:pStyle w:val="BodyB"/>
        <w:rPr>
          <w:rFonts w:ascii="Arial" w:eastAsia="Arial" w:hAnsi="Arial" w:cs="Arial"/>
        </w:rPr>
      </w:pPr>
    </w:p>
    <w:p w14:paraId="6455FEBA" w14:textId="77777777" w:rsidR="00021E6B" w:rsidRDefault="00C875A4">
      <w:pPr>
        <w:pStyle w:val="BodyB"/>
        <w:rPr>
          <w:rFonts w:ascii="Arial" w:eastAsia="Arial" w:hAnsi="Arial" w:cs="Arial"/>
        </w:rPr>
      </w:pPr>
      <w:r>
        <w:rPr>
          <w:rFonts w:ascii="Arial" w:hAnsi="Arial"/>
        </w:rPr>
        <w:t xml:space="preserve">Third, this report is informed by </w:t>
      </w:r>
      <w:r w:rsidR="00C14BA8">
        <w:rPr>
          <w:rFonts w:ascii="Arial" w:hAnsi="Arial"/>
        </w:rPr>
        <w:t>over ten</w:t>
      </w:r>
      <w:r>
        <w:rPr>
          <w:rFonts w:ascii="Arial" w:hAnsi="Arial"/>
        </w:rPr>
        <w:t xml:space="preserve"> years of working on research projects dealing with the experiences of older adults in an</w:t>
      </w:r>
      <w:r w:rsidR="00C14BA8">
        <w:rPr>
          <w:rFonts w:ascii="Arial" w:hAnsi="Arial"/>
        </w:rPr>
        <w:t xml:space="preserve"> increasingly digitizing world. This includes h</w:t>
      </w:r>
      <w:r>
        <w:rPr>
          <w:rFonts w:ascii="Arial" w:hAnsi="Arial"/>
        </w:rPr>
        <w:t xml:space="preserve">eading an international research project on aging, communication and technologies. </w:t>
      </w:r>
    </w:p>
    <w:p w14:paraId="521A1CC8" w14:textId="77777777" w:rsidR="00021E6B" w:rsidRDefault="00021E6B">
      <w:pPr>
        <w:pStyle w:val="BodyB"/>
        <w:rPr>
          <w:rFonts w:ascii="Arial" w:eastAsia="Arial" w:hAnsi="Arial" w:cs="Arial"/>
        </w:rPr>
      </w:pPr>
    </w:p>
    <w:p w14:paraId="4ECEFE1F" w14:textId="77777777" w:rsidR="00021E6B" w:rsidRDefault="00C875A4">
      <w:pPr>
        <w:pStyle w:val="BodyB"/>
      </w:pPr>
      <w:r>
        <w:rPr>
          <w:rFonts w:ascii="Arial" w:hAnsi="Arial"/>
        </w:rPr>
        <w:t xml:space="preserve">Fourth, we draw from our expertise leading digital literacy projects with groups of older adults since 2011, including working with traditionally marginalized groups like women, ethnic, cultural and linguistic minorities, recent immigrants, low-income older adults, and older adults with disabilities. </w:t>
      </w:r>
    </w:p>
    <w:p w14:paraId="75F7C074" w14:textId="77777777" w:rsidR="00021E6B" w:rsidRDefault="00021E6B">
      <w:pPr>
        <w:pStyle w:val="BodyB"/>
      </w:pPr>
    </w:p>
    <w:p w14:paraId="3C9F1023" w14:textId="77777777" w:rsidR="00021E6B" w:rsidRDefault="00021E6B">
      <w:pPr>
        <w:pStyle w:val="BodyB"/>
      </w:pPr>
    </w:p>
    <w:p w14:paraId="3D3ADB11" w14:textId="77777777" w:rsidR="00021E6B" w:rsidRDefault="00021E6B">
      <w:pPr>
        <w:pStyle w:val="BodyB"/>
      </w:pPr>
    </w:p>
    <w:p w14:paraId="0E5B4220" w14:textId="77777777" w:rsidR="00021E6B" w:rsidRDefault="00C875A4">
      <w:pPr>
        <w:pStyle w:val="BodyB"/>
      </w:pPr>
      <w:r>
        <w:rPr>
          <w:rFonts w:ascii="Arial" w:hAnsi="Arial"/>
          <w:b/>
          <w:bCs/>
        </w:rPr>
        <w:t>3. Key preliminary findings</w:t>
      </w:r>
    </w:p>
    <w:p w14:paraId="5E046C70" w14:textId="77777777" w:rsidR="00021E6B" w:rsidRDefault="00021E6B">
      <w:pPr>
        <w:pStyle w:val="BodyB"/>
      </w:pPr>
    </w:p>
    <w:p w14:paraId="6AC0E1F9" w14:textId="77777777" w:rsidR="00021E6B" w:rsidRDefault="00C875A4">
      <w:pPr>
        <w:pStyle w:val="BodyB"/>
      </w:pPr>
      <w:r>
        <w:rPr>
          <w:rFonts w:ascii="Arial" w:hAnsi="Arial"/>
          <w:b/>
          <w:bCs/>
        </w:rPr>
        <w:t>3.1 Older adults tend to rely on television sets and radios to access information and entertainment rather than computers, tablets, or smart phones.</w:t>
      </w:r>
    </w:p>
    <w:p w14:paraId="04A9ECC5" w14:textId="77777777" w:rsidR="00021E6B" w:rsidRDefault="00021E6B">
      <w:pPr>
        <w:pStyle w:val="BodyB"/>
      </w:pPr>
    </w:p>
    <w:p w14:paraId="05ECF6D8" w14:textId="77777777" w:rsidR="00021E6B" w:rsidRDefault="00C875A4">
      <w:pPr>
        <w:pStyle w:val="BodyB"/>
        <w:rPr>
          <w:b/>
          <w:bCs/>
        </w:rPr>
      </w:pPr>
      <w:r>
        <w:rPr>
          <w:rFonts w:ascii="Arial" w:hAnsi="Arial"/>
        </w:rPr>
        <w:t xml:space="preserve">The ACT longitudinal survey found that individuals aged 75+ watch significantly more television on </w:t>
      </w:r>
      <w:r>
        <w:rPr>
          <w:rFonts w:ascii="Arial" w:hAnsi="Arial"/>
          <w:i/>
          <w:iCs/>
        </w:rPr>
        <w:t>television</w:t>
      </w:r>
      <w:r>
        <w:rPr>
          <w:rFonts w:ascii="Arial" w:hAnsi="Arial"/>
        </w:rPr>
        <w:t xml:space="preserve"> </w:t>
      </w:r>
      <w:r>
        <w:rPr>
          <w:rFonts w:ascii="Arial" w:hAnsi="Arial"/>
          <w:i/>
          <w:iCs/>
        </w:rPr>
        <w:t>sets</w:t>
      </w:r>
      <w:r>
        <w:rPr>
          <w:rFonts w:ascii="Arial" w:hAnsi="Arial"/>
        </w:rPr>
        <w:t xml:space="preserve"> than do the 60-64 and 65-69 age groups. Those aged 75+ also preferred listening to radio and watching television over using other media devices, including other digital technologies. Furthermore, </w:t>
      </w:r>
      <w:r w:rsidR="00C14BA8">
        <w:rPr>
          <w:rFonts w:ascii="Arial" w:hAnsi="Arial"/>
        </w:rPr>
        <w:t xml:space="preserve">these findings are confirmed by </w:t>
      </w:r>
      <w:r>
        <w:rPr>
          <w:rFonts w:ascii="Arial" w:hAnsi="Arial"/>
        </w:rPr>
        <w:t xml:space="preserve">a recent CRTC report </w:t>
      </w:r>
      <w:r w:rsidR="00C14BA8">
        <w:rPr>
          <w:rFonts w:ascii="Arial" w:hAnsi="Arial"/>
        </w:rPr>
        <w:t xml:space="preserve">that </w:t>
      </w:r>
      <w:r>
        <w:rPr>
          <w:rFonts w:ascii="Arial" w:hAnsi="Arial"/>
        </w:rPr>
        <w:t xml:space="preserve">indicated that only 17% of adults over 65 were subscribed to </w:t>
      </w:r>
      <w:r>
        <w:rPr>
          <w:rFonts w:ascii="Arial" w:hAnsi="Arial"/>
        </w:rPr>
        <w:lastRenderedPageBreak/>
        <w:t>Netflix, which stands in stark contrast to 64% of those aged 18 to 34 (CRTC, 2017, p.203). Only 2% of those aged 65+ watch television exclusively online (p. 202). These figures, in addition to the television viewing practices of older adults we interviewed as part</w:t>
      </w:r>
      <w:r w:rsidR="00C14BA8">
        <w:rPr>
          <w:rFonts w:ascii="Arial" w:hAnsi="Arial"/>
        </w:rPr>
        <w:t xml:space="preserve"> of our pilot focus group, lead</w:t>
      </w:r>
      <w:r>
        <w:rPr>
          <w:rFonts w:ascii="Arial" w:hAnsi="Arial"/>
        </w:rPr>
        <w:t xml:space="preserve"> us to infer that the oldest Canadians </w:t>
      </w:r>
      <w:r w:rsidR="00C14BA8">
        <w:rPr>
          <w:rFonts w:ascii="Arial" w:hAnsi="Arial"/>
        </w:rPr>
        <w:t xml:space="preserve">continue to </w:t>
      </w:r>
      <w:r>
        <w:rPr>
          <w:rFonts w:ascii="Arial" w:hAnsi="Arial"/>
        </w:rPr>
        <w:t xml:space="preserve">rely on traditional television watching practices, </w:t>
      </w:r>
      <w:r w:rsidR="00C14BA8">
        <w:rPr>
          <w:rFonts w:ascii="Arial" w:hAnsi="Arial"/>
        </w:rPr>
        <w:t xml:space="preserve">which is </w:t>
      </w:r>
      <w:r>
        <w:rPr>
          <w:rFonts w:ascii="Arial" w:hAnsi="Arial"/>
        </w:rPr>
        <w:t>related to their experience with media as a generational cohort.</w:t>
      </w:r>
    </w:p>
    <w:p w14:paraId="6EC67590" w14:textId="77777777" w:rsidR="00021E6B" w:rsidRDefault="00021E6B">
      <w:pPr>
        <w:pStyle w:val="BodyB"/>
      </w:pPr>
    </w:p>
    <w:p w14:paraId="4E98FEE3" w14:textId="77777777" w:rsidR="00021E6B" w:rsidRDefault="00C875A4">
      <w:pPr>
        <w:pStyle w:val="BodyB"/>
      </w:pPr>
      <w:r>
        <w:rPr>
          <w:rFonts w:ascii="Arial" w:hAnsi="Arial"/>
        </w:rPr>
        <w:t>Our longitudinal survey found that older adults in lower socioeconomic brackets rely most on traditional television viewing practices. When their income was noted as being “a lot above” average, they indicated that they watched significantly less television on a television set than those who assessed their income as “slightly below” or “a lot below” average. For many older adults, including those who are already marginalized through low income, there exists a strong connection between traditional television sets and radios, and the consumption of television and radio content.</w:t>
      </w:r>
    </w:p>
    <w:p w14:paraId="5E7721C1" w14:textId="77777777" w:rsidR="00021E6B" w:rsidRDefault="00021E6B">
      <w:pPr>
        <w:pStyle w:val="BodyB"/>
      </w:pPr>
    </w:p>
    <w:p w14:paraId="1B56DA68" w14:textId="77777777" w:rsidR="00021E6B" w:rsidRDefault="00C875A4">
      <w:pPr>
        <w:pStyle w:val="BodyB"/>
      </w:pPr>
      <w:r>
        <w:rPr>
          <w:rFonts w:ascii="Arial" w:hAnsi="Arial"/>
          <w:b/>
          <w:bCs/>
        </w:rPr>
        <w:t>3.2 Older adults prefer scheduled and consistent programming over on-demand options</w:t>
      </w:r>
    </w:p>
    <w:p w14:paraId="6E0593D5" w14:textId="77777777" w:rsidR="00021E6B" w:rsidRDefault="00021E6B">
      <w:pPr>
        <w:pStyle w:val="BodyB"/>
      </w:pPr>
    </w:p>
    <w:p w14:paraId="67053A3A" w14:textId="77777777" w:rsidR="00021E6B" w:rsidRDefault="00C875A4">
      <w:pPr>
        <w:pStyle w:val="BodyB"/>
      </w:pPr>
      <w:r>
        <w:rPr>
          <w:rFonts w:ascii="Arial" w:hAnsi="Arial"/>
        </w:rPr>
        <w:t>According to the longitudinal survey, few older adults watched television or listened to the radio on their phones, but those who do tend to be younger older adults, and fall within the 60-64 age group</w:t>
      </w:r>
      <w:r w:rsidR="00C14BA8">
        <w:rPr>
          <w:rFonts w:ascii="Arial" w:hAnsi="Arial"/>
        </w:rPr>
        <w:t>, and with higher levels of education and income</w:t>
      </w:r>
      <w:r>
        <w:rPr>
          <w:rFonts w:ascii="Arial" w:hAnsi="Arial"/>
        </w:rPr>
        <w:t xml:space="preserve">. Older adults mostly watch television and listen to radio at home or during transportation. </w:t>
      </w:r>
    </w:p>
    <w:p w14:paraId="4E97B9FB" w14:textId="77777777" w:rsidR="00021E6B" w:rsidRDefault="00021E6B">
      <w:pPr>
        <w:pStyle w:val="BodyB"/>
      </w:pPr>
    </w:p>
    <w:p w14:paraId="2DC6B624" w14:textId="77777777" w:rsidR="00021E6B" w:rsidRDefault="00C875A4">
      <w:pPr>
        <w:pStyle w:val="BodyB"/>
      </w:pPr>
      <w:r>
        <w:rPr>
          <w:rFonts w:ascii="Arial" w:hAnsi="Arial"/>
        </w:rPr>
        <w:t xml:space="preserve">Focus group participants, who were 65+, indicated that they </w:t>
      </w:r>
      <w:r w:rsidR="00C14BA8">
        <w:rPr>
          <w:rFonts w:ascii="Arial" w:hAnsi="Arial"/>
        </w:rPr>
        <w:t>prefer</w:t>
      </w:r>
      <w:r>
        <w:rPr>
          <w:rFonts w:ascii="Arial" w:hAnsi="Arial"/>
        </w:rPr>
        <w:t xml:space="preserve"> to use radio and television programs in highly scheduled ways, sometimes using specific content to plan their week, memorizing </w:t>
      </w:r>
      <w:proofErr w:type="spellStart"/>
      <w:r>
        <w:rPr>
          <w:rFonts w:ascii="Arial" w:hAnsi="Arial"/>
        </w:rPr>
        <w:t>favourite</w:t>
      </w:r>
      <w:proofErr w:type="spellEnd"/>
      <w:r>
        <w:rPr>
          <w:rFonts w:ascii="Arial" w:hAnsi="Arial"/>
        </w:rPr>
        <w:t xml:space="preserve"> programs and using them to build their personal schedules (e.g., errands, meetings, workouts). This includes wanting to plan in advance, and fondly remembering the printed “</w:t>
      </w:r>
      <w:r>
        <w:rPr>
          <w:rFonts w:ascii="Arial" w:hAnsi="Arial"/>
          <w:lang w:val="nl-NL"/>
        </w:rPr>
        <w:t>tv guide</w:t>
      </w:r>
      <w:r>
        <w:rPr>
          <w:rFonts w:ascii="Arial" w:hAnsi="Arial"/>
        </w:rPr>
        <w:t>”-like scheduling, which they found they could easily use to plan their television viewing for the week ahead. Planning in advance, they found, is not something that is not easily done with the digital schedules at a glance that are offered as part of cable packages. They often feel overwhelmed by too many choices and do not usually go back to watch programming they have recorded, when they are able to record.</w:t>
      </w:r>
    </w:p>
    <w:p w14:paraId="3B464265" w14:textId="77777777" w:rsidR="00021E6B" w:rsidRDefault="00021E6B">
      <w:pPr>
        <w:pStyle w:val="BodyB"/>
      </w:pPr>
    </w:p>
    <w:p w14:paraId="116DE2D4" w14:textId="77777777" w:rsidR="00021E6B" w:rsidRDefault="00C875A4">
      <w:pPr>
        <w:pStyle w:val="BodyB"/>
      </w:pPr>
      <w:r>
        <w:rPr>
          <w:rFonts w:ascii="Arial" w:hAnsi="Arial"/>
        </w:rPr>
        <w:t xml:space="preserve">Television and radio programming are part of </w:t>
      </w:r>
      <w:r w:rsidRPr="00C14BA8">
        <w:rPr>
          <w:rFonts w:ascii="Arial" w:hAnsi="Arial"/>
          <w:bCs/>
        </w:rPr>
        <w:t>the rituals</w:t>
      </w:r>
      <w:r>
        <w:rPr>
          <w:rFonts w:ascii="Arial" w:hAnsi="Arial"/>
          <w:b/>
          <w:bCs/>
        </w:rPr>
        <w:t xml:space="preserve"> </w:t>
      </w:r>
      <w:r>
        <w:rPr>
          <w:rFonts w:ascii="Arial" w:hAnsi="Arial"/>
        </w:rPr>
        <w:t xml:space="preserve">of their everyday lives. Some participants also noted that they have long relied on television and radio programs, their regular scheduled broadcasting and their familiarity, to provide “background noise” and create a sense of companionship. </w:t>
      </w:r>
    </w:p>
    <w:p w14:paraId="3FA39317" w14:textId="77777777" w:rsidR="00021E6B" w:rsidRDefault="00021E6B">
      <w:pPr>
        <w:pStyle w:val="BodyB"/>
      </w:pPr>
    </w:p>
    <w:p w14:paraId="014EBC6A" w14:textId="77777777" w:rsidR="00021E6B" w:rsidRDefault="00C875A4">
      <w:pPr>
        <w:pStyle w:val="BodyB"/>
        <w:rPr>
          <w:rFonts w:ascii="Arial" w:eastAsia="Arial" w:hAnsi="Arial" w:cs="Arial"/>
          <w:b/>
          <w:bCs/>
        </w:rPr>
      </w:pPr>
      <w:r>
        <w:rPr>
          <w:rFonts w:ascii="Arial" w:hAnsi="Arial"/>
          <w:b/>
          <w:bCs/>
        </w:rPr>
        <w:t>3.3 Access to information is a key part of citizenship</w:t>
      </w:r>
    </w:p>
    <w:p w14:paraId="449EE6EE" w14:textId="77777777" w:rsidR="00021E6B" w:rsidRDefault="00021E6B">
      <w:pPr>
        <w:pStyle w:val="BodyB"/>
      </w:pPr>
    </w:p>
    <w:p w14:paraId="1F0E09B0" w14:textId="77777777" w:rsidR="00021E6B" w:rsidRDefault="00C875A4">
      <w:pPr>
        <w:pStyle w:val="BodyB"/>
      </w:pPr>
      <w:r>
        <w:rPr>
          <w:rFonts w:ascii="Arial" w:hAnsi="Arial"/>
        </w:rPr>
        <w:t>The participants of the longitudinal survey aged 75+ rely significantly more on TV or radio than younger age groups to get “important information” (i.e., outcome of a political election) or “</w:t>
      </w:r>
      <w:r>
        <w:rPr>
          <w:rFonts w:ascii="Arial" w:hAnsi="Arial"/>
          <w:lang w:val="es-ES_tradnl"/>
        </w:rPr>
        <w:t xml:space="preserve">factual </w:t>
      </w:r>
      <w:proofErr w:type="spellStart"/>
      <w:r>
        <w:rPr>
          <w:rFonts w:ascii="Arial" w:hAnsi="Arial"/>
          <w:lang w:val="es-ES_tradnl"/>
        </w:rPr>
        <w:t>information</w:t>
      </w:r>
      <w:proofErr w:type="spellEnd"/>
      <w:r>
        <w:rPr>
          <w:rFonts w:ascii="Arial" w:hAnsi="Arial"/>
        </w:rPr>
        <w:t xml:space="preserve">” (i.e., historical date or economic figures). For the older adults we interviewed, watching television and listening to radio, especially the news content they offered, were foundational to their informed participation in a democratic </w:t>
      </w:r>
      <w:r>
        <w:rPr>
          <w:rFonts w:ascii="Arial" w:hAnsi="Arial"/>
        </w:rPr>
        <w:lastRenderedPageBreak/>
        <w:t xml:space="preserve">society. </w:t>
      </w:r>
      <w:r w:rsidR="008C532E">
        <w:rPr>
          <w:rFonts w:ascii="Arial" w:hAnsi="Arial"/>
        </w:rPr>
        <w:t>They</w:t>
      </w:r>
      <w:r>
        <w:rPr>
          <w:rFonts w:ascii="Arial" w:hAnsi="Arial"/>
        </w:rPr>
        <w:t xml:space="preserve"> </w:t>
      </w:r>
      <w:r w:rsidR="008C532E">
        <w:rPr>
          <w:rFonts w:ascii="Arial" w:hAnsi="Arial"/>
        </w:rPr>
        <w:t>stated that the</w:t>
      </w:r>
      <w:r>
        <w:rPr>
          <w:rFonts w:ascii="Arial" w:hAnsi="Arial"/>
        </w:rPr>
        <w:t xml:space="preserve"> ability to access content via their devices was crucial to their </w:t>
      </w:r>
      <w:r w:rsidR="008C532E">
        <w:rPr>
          <w:rFonts w:ascii="Arial" w:hAnsi="Arial"/>
        </w:rPr>
        <w:t>capacity</w:t>
      </w:r>
      <w:r>
        <w:rPr>
          <w:rFonts w:ascii="Arial" w:hAnsi="Arial"/>
        </w:rPr>
        <w:t xml:space="preserve"> to remain informed, and they found it to be, using their terms, a “basic right”. Specifically, the participants expressed the need for free and basic television content that includes access to the two 24-hour public broadcast news channels (CBC News Network and RDI). They stated an appreciation of</w:t>
      </w:r>
      <w:r>
        <w:rPr>
          <w:rFonts w:ascii="Arial" w:hAnsi="Arial"/>
          <w:b/>
          <w:bCs/>
        </w:rPr>
        <w:t xml:space="preserve"> </w:t>
      </w:r>
      <w:r>
        <w:rPr>
          <w:rFonts w:ascii="Arial" w:hAnsi="Arial"/>
        </w:rPr>
        <w:t xml:space="preserve">CBC Radio for its in-depth reporting. </w:t>
      </w:r>
      <w:r w:rsidR="00C14BA8">
        <w:rPr>
          <w:rFonts w:ascii="Arial" w:hAnsi="Arial"/>
        </w:rPr>
        <w:t>This</w:t>
      </w:r>
      <w:r>
        <w:rPr>
          <w:rFonts w:ascii="Arial" w:hAnsi="Arial"/>
        </w:rPr>
        <w:t xml:space="preserve"> group of older adults found that local, national and international news were all important. They were aware of media bias and recognized the importance of comparing news sources in order to evaluate veracity of information. It is worth pointing out that this group of older adults were </w:t>
      </w:r>
      <w:r w:rsidR="00C14BA8">
        <w:rPr>
          <w:rFonts w:ascii="Arial" w:hAnsi="Arial"/>
        </w:rPr>
        <w:t>highly</w:t>
      </w:r>
      <w:r>
        <w:rPr>
          <w:rFonts w:ascii="Arial" w:hAnsi="Arial"/>
        </w:rPr>
        <w:t xml:space="preserve"> aware of the media landscape, and, as older adults from minority ethnic backgrounds, they were especially interested in obtaining international perspectives on current events, including accessing information from their countries of origin. </w:t>
      </w:r>
    </w:p>
    <w:p w14:paraId="78965FFA" w14:textId="77777777" w:rsidR="00021E6B" w:rsidRDefault="00021E6B">
      <w:pPr>
        <w:pStyle w:val="BodyB"/>
        <w:spacing w:after="240"/>
      </w:pPr>
    </w:p>
    <w:p w14:paraId="3BECFF1E" w14:textId="77777777" w:rsidR="00021E6B" w:rsidRDefault="00C875A4">
      <w:pPr>
        <w:pStyle w:val="BodyB"/>
        <w:rPr>
          <w:rFonts w:ascii="Arial" w:eastAsia="Arial" w:hAnsi="Arial" w:cs="Arial"/>
          <w:b/>
          <w:bCs/>
        </w:rPr>
      </w:pPr>
      <w:r>
        <w:rPr>
          <w:rFonts w:ascii="Arial" w:hAnsi="Arial"/>
          <w:b/>
          <w:bCs/>
        </w:rPr>
        <w:t>3.4 Current pricing and conduct by service providers put older adults at a disadvantage</w:t>
      </w:r>
    </w:p>
    <w:p w14:paraId="0E040123" w14:textId="77777777" w:rsidR="00021E6B" w:rsidRDefault="00021E6B">
      <w:pPr>
        <w:pStyle w:val="BodyB"/>
      </w:pPr>
    </w:p>
    <w:p w14:paraId="4AAC4A05" w14:textId="77777777" w:rsidR="00021E6B" w:rsidRDefault="00C875A4">
      <w:pPr>
        <w:pStyle w:val="BodyB"/>
      </w:pPr>
      <w:r>
        <w:rPr>
          <w:rFonts w:ascii="Arial" w:hAnsi="Arial"/>
        </w:rPr>
        <w:t>The participants</w:t>
      </w:r>
      <w:r w:rsidR="00C14BA8">
        <w:rPr>
          <w:rFonts w:ascii="Arial" w:hAnsi="Arial"/>
        </w:rPr>
        <w:t xml:space="preserve"> vociferously</w:t>
      </w:r>
      <w:r>
        <w:rPr>
          <w:rFonts w:ascii="Arial" w:hAnsi="Arial"/>
        </w:rPr>
        <w:t xml:space="preserve"> lamented a lack of transparency by service providers. Currently, consumers that actively bargain with service providers often receive advantageous pricing for their services, but this requires a level of understanding of digital technologies</w:t>
      </w:r>
      <w:r w:rsidR="00C14BA8">
        <w:rPr>
          <w:rFonts w:ascii="Arial" w:hAnsi="Arial"/>
        </w:rPr>
        <w:t xml:space="preserve"> and contracts</w:t>
      </w:r>
      <w:r>
        <w:rPr>
          <w:rFonts w:ascii="Arial" w:hAnsi="Arial"/>
        </w:rPr>
        <w:t xml:space="preserve"> that is not necessarily the norm among older adults.</w:t>
      </w:r>
      <w:r>
        <w:rPr>
          <w:rFonts w:ascii="Arial" w:hAnsi="Arial"/>
          <w:i/>
          <w:iCs/>
        </w:rPr>
        <w:t xml:space="preserve"> </w:t>
      </w:r>
      <w:r>
        <w:rPr>
          <w:rFonts w:ascii="Arial" w:hAnsi="Arial"/>
        </w:rPr>
        <w:t>Older adults expressed frustration with needing to involve their children or younger friends or relatives in negotiations with service providers to ensure they are treated fairly, can access the same pricing than their younger counterparts, and reach an agreement that is commensurate with their needs. They are aware that if they are not savvy with service providers, they risk being taken advantage of. This means that there is a fear of changing providers because they may end up with more expensive and lower quality services.</w:t>
      </w:r>
    </w:p>
    <w:p w14:paraId="4EA08565" w14:textId="77777777" w:rsidR="00021E6B" w:rsidRDefault="00021E6B">
      <w:pPr>
        <w:pStyle w:val="BodyB"/>
      </w:pPr>
    </w:p>
    <w:p w14:paraId="7F2A5CE3" w14:textId="77777777" w:rsidR="00021E6B" w:rsidRDefault="00C875A4">
      <w:pPr>
        <w:pStyle w:val="BodyB"/>
      </w:pPr>
      <w:r>
        <w:rPr>
          <w:rFonts w:ascii="Arial" w:hAnsi="Arial"/>
        </w:rPr>
        <w:t>Some of the participants have felt undue pressure to add more services through bundling. They do not always need or want the services they are getting, and are worried that they are paying more to get less. Through our years of leading digital literacy workshops in low income building for older adults in Montreal, we have become acutely aware of practices of selling packages to older adults that are disproportionate to their needs or uses. A recent CBC investigation suggests that these high-pressure sales tactics are especially damaging to older adults (Johnson, November 2017). Furthermore, older adults are often convinced to get specialty channels on a trial basis, only for the costs to be added to a future bill. This practice of putting the onus on the consumer to cancel free trials and to begin charging for services after the trial period is perceived as being deceptive.</w:t>
      </w:r>
    </w:p>
    <w:p w14:paraId="173A7192" w14:textId="77777777" w:rsidR="00021E6B" w:rsidRDefault="00021E6B">
      <w:pPr>
        <w:pStyle w:val="BodyB"/>
      </w:pPr>
    </w:p>
    <w:p w14:paraId="3823A051" w14:textId="77777777" w:rsidR="00021E6B" w:rsidRDefault="00C875A4">
      <w:pPr>
        <w:pStyle w:val="BodyB"/>
      </w:pPr>
      <w:r>
        <w:rPr>
          <w:rFonts w:ascii="Arial" w:hAnsi="Arial"/>
        </w:rPr>
        <w:t> </w:t>
      </w:r>
    </w:p>
    <w:p w14:paraId="49CA18B2" w14:textId="77777777" w:rsidR="00021E6B" w:rsidRDefault="00C875A4">
      <w:pPr>
        <w:pStyle w:val="BodyB"/>
      </w:pPr>
      <w:r>
        <w:rPr>
          <w:rFonts w:ascii="Arial" w:hAnsi="Arial"/>
          <w:b/>
          <w:bCs/>
        </w:rPr>
        <w:t>3.5 Recent shifts in distribution models have impacted the ways older adults</w:t>
      </w:r>
      <w:r>
        <w:rPr>
          <w:rFonts w:ascii="Arial" w:hAnsi="Arial"/>
          <w:b/>
          <w:bCs/>
          <w:lang w:val="nl-NL"/>
        </w:rPr>
        <w:t xml:space="preserve"> </w:t>
      </w:r>
      <w:proofErr w:type="spellStart"/>
      <w:r>
        <w:rPr>
          <w:rFonts w:ascii="Arial" w:hAnsi="Arial"/>
          <w:b/>
          <w:bCs/>
          <w:lang w:val="nl-NL"/>
        </w:rPr>
        <w:t>watch</w:t>
      </w:r>
      <w:proofErr w:type="spellEnd"/>
      <w:r>
        <w:rPr>
          <w:rFonts w:ascii="Arial" w:hAnsi="Arial"/>
          <w:b/>
          <w:bCs/>
          <w:lang w:val="nl-NL"/>
        </w:rPr>
        <w:t xml:space="preserve"> </w:t>
      </w:r>
      <w:proofErr w:type="spellStart"/>
      <w:r>
        <w:rPr>
          <w:rFonts w:ascii="Arial" w:hAnsi="Arial"/>
          <w:b/>
          <w:bCs/>
          <w:lang w:val="nl-NL"/>
        </w:rPr>
        <w:t>television</w:t>
      </w:r>
      <w:proofErr w:type="spellEnd"/>
    </w:p>
    <w:p w14:paraId="69223343" w14:textId="77777777" w:rsidR="00021E6B" w:rsidRDefault="00021E6B">
      <w:pPr>
        <w:pStyle w:val="BodyB"/>
      </w:pPr>
    </w:p>
    <w:p w14:paraId="60157FEF" w14:textId="77777777" w:rsidR="00021E6B" w:rsidRDefault="00C875A4">
      <w:pPr>
        <w:pStyle w:val="BodyB"/>
      </w:pPr>
      <w:r>
        <w:rPr>
          <w:rFonts w:ascii="Arial" w:hAnsi="Arial"/>
        </w:rPr>
        <w:t xml:space="preserve">Participants explained that with digitization of cable services, they have reduced the number of televisions in their households, getting rid of televisions in their bedrooms or </w:t>
      </w:r>
      <w:r>
        <w:rPr>
          <w:rFonts w:ascii="Arial" w:hAnsi="Arial"/>
        </w:rPr>
        <w:lastRenderedPageBreak/>
        <w:t xml:space="preserve">kitchens, for example. An increase in choice is not inherently a good thing </w:t>
      </w:r>
      <w:r w:rsidR="00C14BA8">
        <w:rPr>
          <w:rFonts w:ascii="Arial" w:hAnsi="Arial"/>
        </w:rPr>
        <w:t>from the perspective of our interviewees,</w:t>
      </w:r>
      <w:r>
        <w:rPr>
          <w:rFonts w:ascii="Arial" w:hAnsi="Arial"/>
        </w:rPr>
        <w:t xml:space="preserve"> </w:t>
      </w:r>
      <w:r w:rsidR="00C14BA8">
        <w:rPr>
          <w:rFonts w:ascii="Arial" w:hAnsi="Arial"/>
        </w:rPr>
        <w:t>as</w:t>
      </w:r>
      <w:r>
        <w:rPr>
          <w:rFonts w:ascii="Arial" w:hAnsi="Arial"/>
        </w:rPr>
        <w:t xml:space="preserve"> some of them indicated that they often felt overwhelmed by too many choices and could not find the content for which they were looking.</w:t>
      </w:r>
    </w:p>
    <w:p w14:paraId="33D9D190" w14:textId="77777777" w:rsidR="00021E6B" w:rsidRDefault="00021E6B">
      <w:pPr>
        <w:pStyle w:val="BodyB"/>
      </w:pPr>
    </w:p>
    <w:p w14:paraId="46493DB4" w14:textId="77777777" w:rsidR="00021E6B" w:rsidRDefault="00C875A4">
      <w:pPr>
        <w:pStyle w:val="BodyB"/>
      </w:pPr>
      <w:r>
        <w:rPr>
          <w:rFonts w:ascii="Arial" w:hAnsi="Arial"/>
          <w:b/>
          <w:bCs/>
        </w:rPr>
        <w:t xml:space="preserve">3.6 Older adults are concerned about media representations of aging and older adults. </w:t>
      </w:r>
    </w:p>
    <w:p w14:paraId="02D10BAB" w14:textId="77777777" w:rsidR="00021E6B" w:rsidRDefault="00021E6B">
      <w:pPr>
        <w:pStyle w:val="BodyB"/>
      </w:pPr>
    </w:p>
    <w:p w14:paraId="28B95A77" w14:textId="77777777" w:rsidR="00021E6B" w:rsidRDefault="00C875A4">
      <w:pPr>
        <w:pStyle w:val="BodyB"/>
      </w:pPr>
      <w:r>
        <w:rPr>
          <w:rFonts w:ascii="Arial" w:hAnsi="Arial"/>
        </w:rPr>
        <w:t>The participants explained that they were concerned about the lack of visibility of older adults on Canadian television and radio programming, especially a dearth of older minorities and older women. They recognize that there are policies pertaining to diversity in Canada, but that these do little to encourage an accurate rep</w:t>
      </w:r>
      <w:r w:rsidR="00C14BA8">
        <w:rPr>
          <w:rFonts w:ascii="Arial" w:hAnsi="Arial"/>
        </w:rPr>
        <w:t>resentation of an aging society</w:t>
      </w:r>
      <w:r>
        <w:rPr>
          <w:rFonts w:ascii="Arial" w:hAnsi="Arial"/>
        </w:rPr>
        <w:t>.  </w:t>
      </w:r>
    </w:p>
    <w:p w14:paraId="69D05BAD" w14:textId="77777777" w:rsidR="00021E6B" w:rsidRDefault="00021E6B">
      <w:pPr>
        <w:pStyle w:val="BodyB"/>
      </w:pPr>
    </w:p>
    <w:p w14:paraId="7959E186" w14:textId="77777777" w:rsidR="00021E6B" w:rsidRDefault="00C875A4">
      <w:pPr>
        <w:pStyle w:val="BodyB"/>
        <w:rPr>
          <w:rFonts w:ascii="Arial" w:eastAsia="Arial" w:hAnsi="Arial" w:cs="Arial"/>
          <w:b/>
          <w:bCs/>
        </w:rPr>
      </w:pPr>
      <w:r>
        <w:rPr>
          <w:rFonts w:ascii="Arial" w:hAnsi="Arial"/>
          <w:b/>
          <w:bCs/>
        </w:rPr>
        <w:t>4.0 Future steps</w:t>
      </w:r>
    </w:p>
    <w:p w14:paraId="082DBE2E" w14:textId="77777777" w:rsidR="00021E6B" w:rsidRDefault="00021E6B">
      <w:pPr>
        <w:pStyle w:val="BodyB"/>
      </w:pPr>
    </w:p>
    <w:p w14:paraId="5DE59EC9" w14:textId="77777777" w:rsidR="00021E6B" w:rsidRDefault="00C875A4">
      <w:pPr>
        <w:pStyle w:val="BodyB"/>
        <w:rPr>
          <w:rFonts w:ascii="Arial" w:eastAsia="Arial" w:hAnsi="Arial" w:cs="Arial"/>
        </w:rPr>
      </w:pPr>
      <w:r>
        <w:rPr>
          <w:rFonts w:ascii="Arial" w:hAnsi="Arial"/>
        </w:rPr>
        <w:t xml:space="preserve">This preliminary report is a first step into a longer intervention that ACT will make as part of Phase II of the CRTC consultative process pertaining to future programming distribution models. </w:t>
      </w:r>
    </w:p>
    <w:p w14:paraId="4D096813" w14:textId="77777777" w:rsidR="00021E6B" w:rsidRDefault="00021E6B">
      <w:pPr>
        <w:pStyle w:val="BodyB"/>
        <w:rPr>
          <w:rFonts w:ascii="Arial" w:eastAsia="Arial" w:hAnsi="Arial" w:cs="Arial"/>
        </w:rPr>
      </w:pPr>
    </w:p>
    <w:p w14:paraId="7CEA7FAF" w14:textId="77777777" w:rsidR="00021E6B" w:rsidRDefault="00C875A4">
      <w:pPr>
        <w:pStyle w:val="BodyB"/>
      </w:pPr>
      <w:r>
        <w:rPr>
          <w:rFonts w:ascii="Arial" w:hAnsi="Arial"/>
        </w:rPr>
        <w:t>For the next phase, we will continue to analyze the dataset emerging from the first wave of the longitudinal</w:t>
      </w:r>
      <w:r w:rsidR="009F1601">
        <w:rPr>
          <w:rFonts w:ascii="Arial" w:hAnsi="Arial"/>
        </w:rPr>
        <w:t xml:space="preserve"> study. We also plan to hold 5-0</w:t>
      </w:r>
      <w:r>
        <w:rPr>
          <w:rFonts w:ascii="Arial" w:hAnsi="Arial"/>
        </w:rPr>
        <w:t xml:space="preserve"> additional focus groups, and at least one dozen interviews with adults 60+, seeking more diversity in terms of participants. The focus groups and interviews will be conducted with older adults from various regions in Canada, seeking out both Francophone and Anglophone participants. We </w:t>
      </w:r>
      <w:r w:rsidR="009F1601">
        <w:rPr>
          <w:rFonts w:ascii="Arial" w:hAnsi="Arial"/>
        </w:rPr>
        <w:t xml:space="preserve">also </w:t>
      </w:r>
      <w:r>
        <w:rPr>
          <w:rFonts w:ascii="Arial" w:hAnsi="Arial"/>
        </w:rPr>
        <w:t xml:space="preserve">will include input from older adults from the deaf </w:t>
      </w:r>
      <w:r w:rsidR="009F1601">
        <w:rPr>
          <w:rFonts w:ascii="Arial" w:hAnsi="Arial"/>
        </w:rPr>
        <w:t xml:space="preserve">and hard of hearing </w:t>
      </w:r>
      <w:r>
        <w:rPr>
          <w:rFonts w:ascii="Arial" w:hAnsi="Arial"/>
        </w:rPr>
        <w:t xml:space="preserve">community, as well from low income older adults. We </w:t>
      </w:r>
      <w:r w:rsidR="009F1601">
        <w:rPr>
          <w:rFonts w:ascii="Arial" w:hAnsi="Arial"/>
        </w:rPr>
        <w:t xml:space="preserve">also </w:t>
      </w:r>
      <w:r>
        <w:rPr>
          <w:rFonts w:ascii="Arial" w:hAnsi="Arial"/>
        </w:rPr>
        <w:t xml:space="preserve">will include perspectives of older adults who reside in rural areas.  </w:t>
      </w:r>
    </w:p>
    <w:p w14:paraId="4B315429" w14:textId="77777777" w:rsidR="00021E6B" w:rsidRDefault="00021E6B">
      <w:pPr>
        <w:pStyle w:val="BodyB"/>
      </w:pPr>
    </w:p>
    <w:p w14:paraId="3E767ED6" w14:textId="77777777" w:rsidR="00021E6B" w:rsidRDefault="00C875A4">
      <w:pPr>
        <w:pStyle w:val="BodyB"/>
      </w:pPr>
      <w:r>
        <w:rPr>
          <w:rFonts w:ascii="Arial" w:hAnsi="Arial"/>
          <w:b/>
          <w:bCs/>
        </w:rPr>
        <w:t>5.0 Preliminary recommendations</w:t>
      </w:r>
      <w:r>
        <w:rPr>
          <w:rFonts w:eastAsia="Arial Unicode MS" w:cs="Arial Unicode MS"/>
        </w:rPr>
        <w:t xml:space="preserve"> </w:t>
      </w:r>
    </w:p>
    <w:p w14:paraId="62ECBEB1" w14:textId="77777777" w:rsidR="00021E6B" w:rsidRDefault="00021E6B">
      <w:pPr>
        <w:pStyle w:val="BodyB"/>
      </w:pPr>
    </w:p>
    <w:p w14:paraId="2F5C7C2C" w14:textId="77777777" w:rsidR="00021E6B" w:rsidRDefault="00C875A4">
      <w:pPr>
        <w:pStyle w:val="BodyB"/>
        <w:rPr>
          <w:rFonts w:ascii="Arial" w:eastAsia="Arial" w:hAnsi="Arial" w:cs="Arial"/>
        </w:rPr>
      </w:pPr>
      <w:r>
        <w:rPr>
          <w:rFonts w:ascii="Arial" w:hAnsi="Arial"/>
        </w:rPr>
        <w:t xml:space="preserve">Our preliminary report indicates that, </w:t>
      </w:r>
      <w:r w:rsidR="00C14BA8">
        <w:rPr>
          <w:rFonts w:ascii="Arial" w:hAnsi="Arial"/>
        </w:rPr>
        <w:t>care must be taken when analyzing “older adults”. O</w:t>
      </w:r>
      <w:r>
        <w:rPr>
          <w:rFonts w:ascii="Arial" w:hAnsi="Arial"/>
        </w:rPr>
        <w:t xml:space="preserve">lder adults are not a homogenous group. The ways in which older adults engage with technology and media depend on their socio-economic status, level of education, age, cultural background, gender, and marital status. The ways in which and the level to which they access media are also influenced by these factors. Thus, changes to policy and practices will impact older adults in different ways. </w:t>
      </w:r>
    </w:p>
    <w:p w14:paraId="0A145EBB" w14:textId="77777777" w:rsidR="00021E6B" w:rsidRDefault="00021E6B">
      <w:pPr>
        <w:pStyle w:val="BodyB"/>
        <w:rPr>
          <w:rFonts w:ascii="Arial" w:eastAsia="Arial" w:hAnsi="Arial" w:cs="Arial"/>
        </w:rPr>
      </w:pPr>
    </w:p>
    <w:p w14:paraId="4A82EEFE" w14:textId="77777777" w:rsidR="008174DC" w:rsidRDefault="008174DC" w:rsidP="008174DC">
      <w:pPr>
        <w:pStyle w:val="BodyB"/>
        <w:rPr>
          <w:rFonts w:ascii="Arial" w:eastAsia="Arial" w:hAnsi="Arial" w:cs="Arial"/>
        </w:rPr>
      </w:pPr>
      <w:r>
        <w:rPr>
          <w:rFonts w:ascii="Arial" w:hAnsi="Arial"/>
        </w:rPr>
        <w:t>W</w:t>
      </w:r>
      <w:r w:rsidR="00C875A4">
        <w:rPr>
          <w:rFonts w:ascii="Arial" w:hAnsi="Arial"/>
        </w:rPr>
        <w:t>e recommend that the CRTC considers the diversity of needs of older adults and, at the same time, is aware that the needs of affluent older adults are not the same as the needs of older adults in lower socio-economic categories.</w:t>
      </w:r>
    </w:p>
    <w:p w14:paraId="1C1775EB" w14:textId="77777777" w:rsidR="00021E6B" w:rsidRDefault="008174DC" w:rsidP="008174DC">
      <w:pPr>
        <w:pStyle w:val="BodyB"/>
        <w:rPr>
          <w:rFonts w:ascii="Arial" w:eastAsia="Arial" w:hAnsi="Arial" w:cs="Arial"/>
        </w:rPr>
      </w:pPr>
      <w:r>
        <w:rPr>
          <w:rFonts w:ascii="Arial" w:eastAsia="Arial" w:hAnsi="Arial" w:cs="Arial"/>
        </w:rPr>
        <w:t xml:space="preserve"> </w:t>
      </w:r>
    </w:p>
    <w:p w14:paraId="4B138493" w14:textId="77777777" w:rsidR="00021E6B" w:rsidRDefault="00C875A4">
      <w:pPr>
        <w:pStyle w:val="BodyB"/>
        <w:rPr>
          <w:rFonts w:ascii="Arial" w:eastAsia="Arial" w:hAnsi="Arial" w:cs="Arial"/>
        </w:rPr>
      </w:pPr>
      <w:r>
        <w:rPr>
          <w:rFonts w:ascii="Arial" w:hAnsi="Arial"/>
        </w:rPr>
        <w:t>Our early findings also indicate that as people age, they carry forth technologies and habits from earlier in their lives</w:t>
      </w:r>
      <w:r w:rsidR="008174DC">
        <w:rPr>
          <w:rFonts w:ascii="Arial" w:hAnsi="Arial"/>
        </w:rPr>
        <w:t xml:space="preserve"> (</w:t>
      </w:r>
      <w:proofErr w:type="spellStart"/>
      <w:r w:rsidR="008174DC">
        <w:rPr>
          <w:rFonts w:ascii="Arial" w:hAnsi="Arial"/>
        </w:rPr>
        <w:t>Ratzenböck</w:t>
      </w:r>
      <w:proofErr w:type="spellEnd"/>
      <w:r w:rsidR="008174DC">
        <w:rPr>
          <w:rFonts w:ascii="Arial" w:hAnsi="Arial"/>
        </w:rPr>
        <w:t xml:space="preserve">, </w:t>
      </w:r>
      <w:r w:rsidR="00EB451A">
        <w:rPr>
          <w:rFonts w:ascii="Arial" w:hAnsi="Arial"/>
        </w:rPr>
        <w:t>2016</w:t>
      </w:r>
      <w:r w:rsidR="008174DC">
        <w:rPr>
          <w:rFonts w:ascii="Arial" w:hAnsi="Arial"/>
        </w:rPr>
        <w:t>)</w:t>
      </w:r>
      <w:r>
        <w:rPr>
          <w:rFonts w:ascii="Arial" w:hAnsi="Arial"/>
        </w:rPr>
        <w:t>. Their ability to adapt to a rapidly changing communications and media environment (because of both technical know-how and financial capacities) may be limited</w:t>
      </w:r>
      <w:r w:rsidR="008C532E">
        <w:rPr>
          <w:rFonts w:ascii="Arial" w:hAnsi="Arial"/>
        </w:rPr>
        <w:t xml:space="preserve"> by their past experience</w:t>
      </w:r>
      <w:r w:rsidR="008174DC">
        <w:rPr>
          <w:rFonts w:ascii="Arial" w:hAnsi="Arial"/>
        </w:rPr>
        <w:t xml:space="preserve"> but</w:t>
      </w:r>
      <w:r w:rsidR="008C532E">
        <w:rPr>
          <w:rFonts w:ascii="Arial" w:hAnsi="Arial"/>
        </w:rPr>
        <w:t xml:space="preserve"> also by their </w:t>
      </w:r>
      <w:r w:rsidR="008C532E">
        <w:rPr>
          <w:rFonts w:ascii="Arial" w:hAnsi="Arial"/>
        </w:rPr>
        <w:lastRenderedPageBreak/>
        <w:t>economic status in retirement</w:t>
      </w:r>
      <w:r>
        <w:rPr>
          <w:rFonts w:ascii="Arial" w:hAnsi="Arial"/>
        </w:rPr>
        <w:t xml:space="preserve"> and </w:t>
      </w:r>
      <w:r w:rsidR="008C532E">
        <w:rPr>
          <w:rFonts w:ascii="Arial" w:hAnsi="Arial"/>
        </w:rPr>
        <w:t xml:space="preserve">This </w:t>
      </w:r>
      <w:r>
        <w:rPr>
          <w:rFonts w:ascii="Arial" w:hAnsi="Arial"/>
        </w:rPr>
        <w:t xml:space="preserve">should be taken into account when </w:t>
      </w:r>
      <w:r w:rsidR="008174DC">
        <w:rPr>
          <w:rFonts w:ascii="Arial" w:hAnsi="Arial"/>
        </w:rPr>
        <w:t xml:space="preserve">research informing policy is conducted, so that it does not replicated ageist biases. </w:t>
      </w:r>
      <w:r w:rsidR="008C532E">
        <w:rPr>
          <w:rFonts w:ascii="Arial" w:hAnsi="Arial"/>
        </w:rPr>
        <w:t>Today’s</w:t>
      </w:r>
      <w:r>
        <w:rPr>
          <w:rFonts w:ascii="Arial" w:hAnsi="Arial"/>
        </w:rPr>
        <w:t xml:space="preserve"> adults are tomorrow’s older adults and they too will carry forth technology and communication related habits and routines</w:t>
      </w:r>
      <w:r w:rsidR="00C14BA8">
        <w:rPr>
          <w:rFonts w:ascii="Arial" w:hAnsi="Arial"/>
        </w:rPr>
        <w:t xml:space="preserve"> from their past</w:t>
      </w:r>
      <w:r>
        <w:rPr>
          <w:rFonts w:ascii="Arial" w:hAnsi="Arial"/>
        </w:rPr>
        <w:t xml:space="preserve">. </w:t>
      </w:r>
      <w:r w:rsidR="00C14BA8">
        <w:rPr>
          <w:rFonts w:ascii="Arial" w:hAnsi="Arial"/>
        </w:rPr>
        <w:t>Finally,</w:t>
      </w:r>
      <w:r>
        <w:rPr>
          <w:rFonts w:ascii="Arial" w:hAnsi="Arial"/>
        </w:rPr>
        <w:t xml:space="preserve"> rapid </w:t>
      </w:r>
      <w:r w:rsidR="00C14BA8">
        <w:rPr>
          <w:rFonts w:ascii="Arial" w:hAnsi="Arial"/>
        </w:rPr>
        <w:t xml:space="preserve">technological </w:t>
      </w:r>
      <w:r>
        <w:rPr>
          <w:rFonts w:ascii="Arial" w:hAnsi="Arial"/>
        </w:rPr>
        <w:t xml:space="preserve">changes can further isolate already marginalized groups. </w:t>
      </w:r>
    </w:p>
    <w:p w14:paraId="46D1CAD4" w14:textId="77777777" w:rsidR="00021E6B" w:rsidRDefault="00021E6B">
      <w:pPr>
        <w:pStyle w:val="BodyB"/>
        <w:rPr>
          <w:rFonts w:ascii="Arial" w:eastAsia="Arial" w:hAnsi="Arial" w:cs="Arial"/>
        </w:rPr>
      </w:pPr>
    </w:p>
    <w:p w14:paraId="795EEF2B" w14:textId="77777777" w:rsidR="00021E6B" w:rsidRDefault="00C875A4">
      <w:pPr>
        <w:pStyle w:val="BodyB"/>
        <w:rPr>
          <w:rFonts w:ascii="Arial" w:eastAsia="Arial" w:hAnsi="Arial" w:cs="Arial"/>
        </w:rPr>
      </w:pPr>
      <w:r>
        <w:rPr>
          <w:rFonts w:ascii="Arial" w:hAnsi="Arial"/>
        </w:rPr>
        <w:t xml:space="preserve">Thus, we recommend that changes to distribution platforms, </w:t>
      </w:r>
      <w:r w:rsidRPr="00C14BA8">
        <w:rPr>
          <w:rFonts w:ascii="Arial" w:hAnsi="Arial"/>
          <w:bCs/>
        </w:rPr>
        <w:t>and the policies that surround them,</w:t>
      </w:r>
      <w:r>
        <w:rPr>
          <w:rFonts w:ascii="Arial" w:hAnsi="Arial"/>
          <w:b/>
          <w:bCs/>
        </w:rPr>
        <w:t xml:space="preserve"> </w:t>
      </w:r>
      <w:r>
        <w:rPr>
          <w:rFonts w:ascii="Arial" w:hAnsi="Arial"/>
        </w:rPr>
        <w:t xml:space="preserve">keep citizens’ needs for communication and information front of mind, knowing that not all citizens can access information from new distribution models. </w:t>
      </w:r>
    </w:p>
    <w:p w14:paraId="4A0A41C0" w14:textId="77777777" w:rsidR="00021E6B" w:rsidRDefault="00021E6B">
      <w:pPr>
        <w:pStyle w:val="BodyB"/>
        <w:rPr>
          <w:rFonts w:ascii="Arial" w:eastAsia="Arial" w:hAnsi="Arial" w:cs="Arial"/>
        </w:rPr>
      </w:pPr>
    </w:p>
    <w:p w14:paraId="068949C8" w14:textId="77777777" w:rsidR="00021E6B" w:rsidRDefault="00C875A4">
      <w:pPr>
        <w:pStyle w:val="BodyB"/>
        <w:rPr>
          <w:rFonts w:ascii="Arial" w:eastAsia="Arial" w:hAnsi="Arial" w:cs="Arial"/>
        </w:rPr>
      </w:pPr>
      <w:r>
        <w:rPr>
          <w:rFonts w:ascii="Arial" w:hAnsi="Arial"/>
        </w:rPr>
        <w:t xml:space="preserve">We also recommend that </w:t>
      </w:r>
      <w:r w:rsidRPr="00C14BA8">
        <w:rPr>
          <w:rFonts w:ascii="Arial" w:hAnsi="Arial"/>
        </w:rPr>
        <w:t xml:space="preserve">the </w:t>
      </w:r>
      <w:r w:rsidRPr="00C14BA8">
        <w:rPr>
          <w:rFonts w:ascii="Arial" w:hAnsi="Arial"/>
          <w:bCs/>
        </w:rPr>
        <w:t>diverse and varied</w:t>
      </w:r>
      <w:r>
        <w:rPr>
          <w:rFonts w:ascii="Arial" w:hAnsi="Arial"/>
          <w:b/>
          <w:bCs/>
        </w:rPr>
        <w:t xml:space="preserve"> </w:t>
      </w:r>
      <w:r>
        <w:rPr>
          <w:rFonts w:ascii="Arial" w:hAnsi="Arial"/>
        </w:rPr>
        <w:t>needs of our country’s older adults need to be considered before decisions are made that could potentially take away access to information that is considered to be “essential to citizenship in Canada.”</w:t>
      </w:r>
    </w:p>
    <w:p w14:paraId="5BE027C4" w14:textId="77777777" w:rsidR="00021E6B" w:rsidRDefault="00021E6B">
      <w:pPr>
        <w:pStyle w:val="BodyB"/>
        <w:rPr>
          <w:rFonts w:ascii="Arial" w:eastAsia="Arial" w:hAnsi="Arial" w:cs="Arial"/>
        </w:rPr>
      </w:pPr>
    </w:p>
    <w:p w14:paraId="41626730" w14:textId="77777777" w:rsidR="00021E6B" w:rsidRDefault="00021E6B">
      <w:pPr>
        <w:pStyle w:val="BodyB"/>
        <w:rPr>
          <w:rFonts w:ascii="Arial" w:eastAsia="Arial" w:hAnsi="Arial" w:cs="Arial"/>
        </w:rPr>
      </w:pPr>
    </w:p>
    <w:p w14:paraId="771D863C" w14:textId="77777777" w:rsidR="00021E6B" w:rsidRDefault="00C875A4">
      <w:pPr>
        <w:pStyle w:val="BodyB"/>
        <w:rPr>
          <w:rFonts w:ascii="Arial" w:eastAsia="Arial" w:hAnsi="Arial" w:cs="Arial"/>
          <w:b/>
          <w:bCs/>
        </w:rPr>
      </w:pPr>
      <w:r>
        <w:rPr>
          <w:rFonts w:ascii="Arial" w:hAnsi="Arial"/>
          <w:b/>
          <w:bCs/>
        </w:rPr>
        <w:t>6.0 Bibliography</w:t>
      </w:r>
    </w:p>
    <w:p w14:paraId="42B397EB" w14:textId="77777777" w:rsidR="00021E6B" w:rsidRDefault="00021E6B">
      <w:pPr>
        <w:pStyle w:val="BodyB"/>
        <w:rPr>
          <w:rFonts w:ascii="Arial" w:eastAsia="Arial" w:hAnsi="Arial" w:cs="Arial"/>
        </w:rPr>
      </w:pPr>
    </w:p>
    <w:p w14:paraId="7ED7F067" w14:textId="77777777" w:rsidR="00021E6B" w:rsidRDefault="00C875A4">
      <w:pPr>
        <w:pStyle w:val="BodyB"/>
        <w:rPr>
          <w:rFonts w:ascii="Arial" w:eastAsia="Arial" w:hAnsi="Arial" w:cs="Arial"/>
        </w:rPr>
      </w:pPr>
      <w:r>
        <w:rPr>
          <w:rFonts w:ascii="Arial" w:hAnsi="Arial"/>
        </w:rPr>
        <w:t xml:space="preserve">Canadian Radio-television and telecommunications Commission (CRTC) (2017). </w:t>
      </w:r>
      <w:r>
        <w:rPr>
          <w:rFonts w:ascii="Arial" w:hAnsi="Arial"/>
          <w:i/>
          <w:iCs/>
        </w:rPr>
        <w:t>Communications Monitoring Report 2017</w:t>
      </w:r>
      <w:r>
        <w:rPr>
          <w:rFonts w:ascii="Arial" w:hAnsi="Arial"/>
        </w:rPr>
        <w:t>. Retrieved from http://crtc.gc.ca/eng/publications/reports/PolicyMonitoring/2017/cmr2017.pdf</w:t>
      </w:r>
    </w:p>
    <w:p w14:paraId="3D2E9E0C" w14:textId="77777777" w:rsidR="00021E6B" w:rsidRDefault="00021E6B">
      <w:pPr>
        <w:pStyle w:val="BodyB"/>
        <w:rPr>
          <w:rFonts w:ascii="Arial" w:eastAsia="Arial" w:hAnsi="Arial" w:cs="Arial"/>
        </w:rPr>
      </w:pPr>
    </w:p>
    <w:p w14:paraId="40720B4D" w14:textId="77777777" w:rsidR="00021E6B" w:rsidRDefault="00C875A4">
      <w:pPr>
        <w:pStyle w:val="BodyB"/>
        <w:rPr>
          <w:rFonts w:ascii="Arial" w:hAnsi="Arial"/>
        </w:rPr>
      </w:pPr>
      <w:r>
        <w:rPr>
          <w:rFonts w:ascii="Arial" w:hAnsi="Arial"/>
        </w:rPr>
        <w:t xml:space="preserve">Johnson, E. (2017, November 19). Bell insider reveals high-pressure sales tactics required on every single call. </w:t>
      </w:r>
      <w:r>
        <w:rPr>
          <w:rFonts w:ascii="Arial" w:hAnsi="Arial"/>
          <w:i/>
          <w:iCs/>
        </w:rPr>
        <w:t>CBC News</w:t>
      </w:r>
      <w:r>
        <w:rPr>
          <w:rFonts w:ascii="Arial" w:hAnsi="Arial"/>
        </w:rPr>
        <w:t xml:space="preserve">. Retrieved from </w:t>
      </w:r>
      <w:hyperlink r:id="rId8" w:history="1">
        <w:r w:rsidR="00EB451A" w:rsidRPr="00585D2D">
          <w:rPr>
            <w:rStyle w:val="Hyperlink"/>
            <w:rFonts w:ascii="Arial" w:hAnsi="Arial"/>
          </w:rPr>
          <w:t>http://www.cbc.ca/news/business/bell-whistleblower-reveals-high-pressure-sales-1.4404088</w:t>
        </w:r>
      </w:hyperlink>
    </w:p>
    <w:p w14:paraId="722853C0" w14:textId="77777777" w:rsidR="00EB451A" w:rsidRDefault="00EB451A">
      <w:pPr>
        <w:pStyle w:val="BodyB"/>
        <w:rPr>
          <w:rFonts w:ascii="Arial" w:eastAsia="Arial" w:hAnsi="Arial" w:cs="Arial"/>
        </w:rPr>
      </w:pPr>
      <w:r>
        <w:rPr>
          <w:rFonts w:ascii="Arial" w:hAnsi="Arial"/>
        </w:rPr>
        <w:br/>
      </w:r>
      <w:proofErr w:type="spellStart"/>
      <w:r>
        <w:rPr>
          <w:rFonts w:ascii="Arial" w:hAnsi="Arial"/>
        </w:rPr>
        <w:t>Ratzenböck</w:t>
      </w:r>
      <w:proofErr w:type="spellEnd"/>
      <w:r>
        <w:rPr>
          <w:rFonts w:ascii="Arial" w:hAnsi="Arial"/>
        </w:rPr>
        <w:t xml:space="preserve">, B. (2016). </w:t>
      </w:r>
      <w:r w:rsidRPr="00EB451A">
        <w:rPr>
          <w:rFonts w:ascii="Arial" w:hAnsi="Arial"/>
        </w:rPr>
        <w:t>“Let’s Take a Look Together”: Walking Interviews in Domestic Spaces as a Means to Examine ICT Experiences of Women 60+</w:t>
      </w:r>
      <w:r>
        <w:rPr>
          <w:rFonts w:ascii="Arial" w:hAnsi="Arial"/>
        </w:rPr>
        <w:t xml:space="preserve">. </w:t>
      </w:r>
      <w:r w:rsidRPr="00DB0D88">
        <w:rPr>
          <w:rFonts w:ascii="Arial" w:hAnsi="Arial"/>
          <w:i/>
        </w:rPr>
        <w:t>Romanian</w:t>
      </w:r>
      <w:r w:rsidRPr="00EB451A">
        <w:rPr>
          <w:rFonts w:ascii="Arial" w:hAnsi="Arial"/>
        </w:rPr>
        <w:t xml:space="preserve"> </w:t>
      </w:r>
      <w:r w:rsidRPr="00DB0D88">
        <w:rPr>
          <w:rFonts w:ascii="Arial" w:hAnsi="Arial"/>
          <w:i/>
        </w:rPr>
        <w:t>Journal of Communication and Public Relations</w:t>
      </w:r>
      <w:r w:rsidR="00DB0D88" w:rsidRPr="00DB0D88">
        <w:rPr>
          <w:rFonts w:ascii="Arial" w:hAnsi="Arial"/>
          <w:i/>
        </w:rPr>
        <w:t>, 18</w:t>
      </w:r>
      <w:r w:rsidR="00DB0D88">
        <w:rPr>
          <w:rFonts w:ascii="Arial" w:hAnsi="Arial"/>
        </w:rPr>
        <w:t xml:space="preserve">(1), </w:t>
      </w:r>
      <w:r w:rsidR="00DB0D88" w:rsidRPr="00DB0D88">
        <w:rPr>
          <w:rFonts w:ascii="Arial" w:hAnsi="Arial"/>
        </w:rPr>
        <w:t>49-64</w:t>
      </w:r>
      <w:r w:rsidR="00DB0D88">
        <w:rPr>
          <w:rFonts w:ascii="Arial" w:hAnsi="Arial"/>
        </w:rPr>
        <w:t>.</w:t>
      </w:r>
    </w:p>
    <w:p w14:paraId="1021D13B" w14:textId="77777777" w:rsidR="00021E6B" w:rsidRDefault="00021E6B">
      <w:pPr>
        <w:pStyle w:val="BodyB"/>
        <w:rPr>
          <w:rFonts w:ascii="Arial" w:eastAsia="Arial" w:hAnsi="Arial" w:cs="Arial"/>
        </w:rPr>
      </w:pPr>
    </w:p>
    <w:p w14:paraId="7C648E3C" w14:textId="77777777" w:rsidR="00021E6B" w:rsidRDefault="00021E6B">
      <w:pPr>
        <w:pStyle w:val="BodyB"/>
        <w:rPr>
          <w:rFonts w:ascii="Arial" w:eastAsia="Arial" w:hAnsi="Arial" w:cs="Arial"/>
        </w:rPr>
      </w:pPr>
    </w:p>
    <w:p w14:paraId="38B190C7" w14:textId="77777777" w:rsidR="00021E6B" w:rsidRDefault="00021E6B">
      <w:pPr>
        <w:pStyle w:val="BodyB"/>
        <w:rPr>
          <w:rFonts w:ascii="Arial" w:eastAsia="Arial" w:hAnsi="Arial" w:cs="Arial"/>
        </w:rPr>
      </w:pPr>
    </w:p>
    <w:p w14:paraId="0F0BFB3C" w14:textId="77777777" w:rsidR="00021E6B" w:rsidRDefault="00C875A4">
      <w:pPr>
        <w:pStyle w:val="Body"/>
      </w:pPr>
      <w:r>
        <w:rPr>
          <w:rFonts w:ascii="Arial Unicode MS" w:eastAsia="Arial Unicode MS" w:hAnsi="Arial Unicode MS" w:cs="Arial Unicode MS"/>
        </w:rPr>
        <w:br w:type="page"/>
      </w:r>
    </w:p>
    <w:p w14:paraId="59B1F793" w14:textId="77777777" w:rsidR="00021E6B" w:rsidRDefault="00C875A4">
      <w:pPr>
        <w:pStyle w:val="BodyB"/>
        <w:rPr>
          <w:rFonts w:ascii="Arial" w:eastAsia="Arial" w:hAnsi="Arial" w:cs="Arial"/>
          <w:b/>
          <w:bCs/>
        </w:rPr>
      </w:pPr>
      <w:r>
        <w:rPr>
          <w:rFonts w:ascii="Arial" w:hAnsi="Arial"/>
          <w:b/>
          <w:bCs/>
        </w:rPr>
        <w:lastRenderedPageBreak/>
        <w:t>7.0 Appendix A</w:t>
      </w:r>
    </w:p>
    <w:p w14:paraId="1B73A6E2"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Calibri" w:eastAsia="Calibri" w:hAnsi="Calibri" w:cs="Calibri"/>
          <w:sz w:val="22"/>
          <w:szCs w:val="22"/>
        </w:rPr>
      </w:pPr>
    </w:p>
    <w:p w14:paraId="3ED5F5D5"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Arial" w:eastAsia="Arial" w:hAnsi="Arial" w:cs="Arial"/>
        </w:rPr>
      </w:pPr>
      <w:r w:rsidRPr="00C14BA8">
        <w:rPr>
          <w:rFonts w:ascii="Arial" w:hAnsi="Arial"/>
        </w:rPr>
        <w:t xml:space="preserve">Aging, Communication and Technologies’ Longitudinal Study on Older Media Audiences </w:t>
      </w:r>
    </w:p>
    <w:p w14:paraId="3144BC07" w14:textId="77777777" w:rsidR="00021E6B" w:rsidRPr="00C14BA8"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Arial" w:eastAsia="Arial" w:hAnsi="Arial" w:cs="Arial"/>
        </w:rPr>
      </w:pPr>
    </w:p>
    <w:p w14:paraId="34EE359B"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jc w:val="center"/>
        <w:rPr>
          <w:rFonts w:ascii="Arial" w:eastAsia="Arial" w:hAnsi="Arial" w:cs="Arial"/>
        </w:rPr>
      </w:pPr>
      <w:r w:rsidRPr="00C14BA8">
        <w:rPr>
          <w:rFonts w:ascii="Arial" w:hAnsi="Arial"/>
        </w:rPr>
        <w:t xml:space="preserve">Preliminary Results / Television and Radio Consumption by Canadian Older </w:t>
      </w:r>
    </w:p>
    <w:p w14:paraId="318B45B7"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jc w:val="center"/>
        <w:rPr>
          <w:rFonts w:ascii="Arial" w:eastAsia="Arial" w:hAnsi="Arial" w:cs="Arial"/>
        </w:rPr>
      </w:pPr>
      <w:r w:rsidRPr="00C14BA8">
        <w:rPr>
          <w:rFonts w:ascii="Arial" w:hAnsi="Arial"/>
        </w:rPr>
        <w:t xml:space="preserve">Analysis completed by Martine </w:t>
      </w:r>
      <w:proofErr w:type="spellStart"/>
      <w:r w:rsidRPr="00C14BA8">
        <w:rPr>
          <w:rFonts w:ascii="Arial" w:hAnsi="Arial"/>
        </w:rPr>
        <w:t>Lagacé</w:t>
      </w:r>
      <w:proofErr w:type="spellEnd"/>
      <w:r w:rsidRPr="00C14BA8">
        <w:rPr>
          <w:rFonts w:ascii="Arial" w:hAnsi="Arial"/>
        </w:rPr>
        <w:t xml:space="preserve"> and </w:t>
      </w:r>
      <w:proofErr w:type="spellStart"/>
      <w:r w:rsidRPr="00C14BA8">
        <w:rPr>
          <w:rFonts w:ascii="Arial" w:hAnsi="Arial"/>
        </w:rPr>
        <w:t>Lise</w:t>
      </w:r>
      <w:proofErr w:type="spellEnd"/>
      <w:r w:rsidRPr="00C14BA8">
        <w:rPr>
          <w:rFonts w:ascii="Arial" w:hAnsi="Arial"/>
        </w:rPr>
        <w:t xml:space="preserve"> Van de </w:t>
      </w:r>
      <w:proofErr w:type="spellStart"/>
      <w:r w:rsidRPr="00C14BA8">
        <w:rPr>
          <w:rFonts w:ascii="Arial" w:hAnsi="Arial"/>
        </w:rPr>
        <w:t>Beeck</w:t>
      </w:r>
      <w:proofErr w:type="spellEnd"/>
    </w:p>
    <w:p w14:paraId="46FE3F1E"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jc w:val="center"/>
        <w:rPr>
          <w:rFonts w:ascii="Arial" w:eastAsia="Arial" w:hAnsi="Arial" w:cs="Arial"/>
        </w:rPr>
      </w:pPr>
      <w:r w:rsidRPr="00C14BA8">
        <w:rPr>
          <w:rFonts w:ascii="Arial" w:hAnsi="Arial"/>
        </w:rPr>
        <w:t>University of Ottawa</w:t>
      </w:r>
    </w:p>
    <w:p w14:paraId="22C8403C"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jc w:val="center"/>
        <w:rPr>
          <w:rFonts w:ascii="Arial" w:eastAsia="Arial" w:hAnsi="Arial" w:cs="Arial"/>
        </w:rPr>
      </w:pPr>
      <w:r w:rsidRPr="00C14BA8">
        <w:rPr>
          <w:rFonts w:ascii="Arial" w:hAnsi="Arial"/>
        </w:rPr>
        <w:t xml:space="preserve">November 2017 </w:t>
      </w:r>
    </w:p>
    <w:p w14:paraId="77550B92" w14:textId="77777777" w:rsidR="00021E6B" w:rsidRPr="00C14BA8"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jc w:val="center"/>
        <w:rPr>
          <w:rFonts w:ascii="Arial" w:eastAsia="Arial" w:hAnsi="Arial" w:cs="Arial"/>
        </w:rPr>
      </w:pPr>
    </w:p>
    <w:p w14:paraId="14A9CEB6" w14:textId="77777777" w:rsidR="00021E6B" w:rsidRPr="00C14BA8"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59" w:lineRule="auto"/>
        <w:jc w:val="center"/>
        <w:rPr>
          <w:rFonts w:ascii="Arial" w:eastAsia="Arial" w:hAnsi="Arial" w:cs="Arial"/>
        </w:rPr>
      </w:pPr>
    </w:p>
    <w:p w14:paraId="516BDA88" w14:textId="77777777" w:rsidR="00021E6B" w:rsidRPr="00C14BA8"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Arial" w:eastAsia="Arial" w:hAnsi="Arial" w:cs="Arial"/>
          <w:u w:val="single"/>
        </w:rPr>
      </w:pPr>
      <w:r w:rsidRPr="00C14BA8">
        <w:rPr>
          <w:rFonts w:ascii="Arial" w:hAnsi="Arial"/>
          <w:u w:val="single"/>
        </w:rPr>
        <w:t xml:space="preserve">Context: </w:t>
      </w:r>
    </w:p>
    <w:p w14:paraId="31AB7903"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Arial" w:eastAsia="Arial" w:hAnsi="Arial" w:cs="Arial"/>
          <w:sz w:val="22"/>
          <w:szCs w:val="22"/>
        </w:rPr>
      </w:pPr>
      <w:r w:rsidRPr="00C14BA8">
        <w:rPr>
          <w:rFonts w:ascii="Arial" w:eastAsia="Arial" w:hAnsi="Arial" w:cs="Arial"/>
        </w:rPr>
        <w:tab/>
        <w:t>Data was collected among 3,560 Canadian older adults, through a large</w:t>
      </w:r>
      <w:r>
        <w:rPr>
          <w:rFonts w:ascii="Arial" w:eastAsia="Arial" w:hAnsi="Arial" w:cs="Arial"/>
          <w:sz w:val="22"/>
          <w:szCs w:val="22"/>
        </w:rPr>
        <w:t xml:space="preserve">-scale internet survey aiming to better understand the usage of traditional and new media/technology.  Field work started on June </w:t>
      </w:r>
      <w:proofErr w:type="gramStart"/>
      <w:r>
        <w:rPr>
          <w:rFonts w:ascii="Arial" w:eastAsia="Arial" w:hAnsi="Arial" w:cs="Arial"/>
          <w:sz w:val="22"/>
          <w:szCs w:val="22"/>
        </w:rPr>
        <w:t>27</w:t>
      </w:r>
      <w:r>
        <w:rPr>
          <w:rFonts w:ascii="Arial" w:hAnsi="Arial"/>
          <w:sz w:val="22"/>
          <w:szCs w:val="22"/>
          <w:vertAlign w:val="superscript"/>
        </w:rPr>
        <w:t>th</w:t>
      </w:r>
      <w:proofErr w:type="gramEnd"/>
      <w:r>
        <w:rPr>
          <w:rFonts w:ascii="Arial" w:hAnsi="Arial"/>
          <w:sz w:val="22"/>
          <w:szCs w:val="22"/>
        </w:rPr>
        <w:t xml:space="preserve"> 2017 and continued until July 20</w:t>
      </w:r>
      <w:r>
        <w:rPr>
          <w:rFonts w:ascii="Arial" w:hAnsi="Arial"/>
          <w:sz w:val="22"/>
          <w:szCs w:val="22"/>
          <w:vertAlign w:val="superscript"/>
        </w:rPr>
        <w:t>th</w:t>
      </w:r>
      <w:r>
        <w:rPr>
          <w:rFonts w:ascii="Arial" w:hAnsi="Arial"/>
          <w:sz w:val="22"/>
          <w:szCs w:val="22"/>
        </w:rPr>
        <w:t xml:space="preserve"> 2017. Invitations were sent to 9,719 individuals; 4,646 clicked on the internet link survey and a total of 3,560 completed the questionnaire, for a response rate of 48%. Incomplete questionnaires were discarded (n=763). Data was weighted to allow for statistical analysis (see table: Final Weighted Sample – by Region).  </w:t>
      </w:r>
    </w:p>
    <w:p w14:paraId="1A4E2742" w14:textId="77777777" w:rsidR="00021E6B" w:rsidRPr="002232E8"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Arial" w:eastAsia="Arial" w:hAnsi="Arial" w:cs="Arial"/>
        </w:rPr>
      </w:pPr>
    </w:p>
    <w:p w14:paraId="4344C72C" w14:textId="77777777" w:rsidR="00021E6B" w:rsidRPr="002232E8"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sz w:val="24"/>
          <w:szCs w:val="24"/>
          <w:u w:val="single"/>
          <w:lang w:val="en-US"/>
        </w:rPr>
      </w:pPr>
      <w:r w:rsidRPr="002232E8">
        <w:rPr>
          <w:rFonts w:ascii="Arial" w:hAnsi="Arial"/>
          <w:sz w:val="24"/>
          <w:szCs w:val="24"/>
          <w:u w:val="single"/>
          <w:lang w:val="en-US"/>
        </w:rPr>
        <w:t>Highlights:</w:t>
      </w:r>
    </w:p>
    <w:p w14:paraId="4099C5AA" w14:textId="77777777" w:rsidR="00021E6B" w:rsidRPr="002232E8"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sz w:val="24"/>
          <w:szCs w:val="24"/>
          <w:lang w:val="en-US"/>
        </w:rPr>
      </w:pPr>
    </w:p>
    <w:p w14:paraId="6640ED10" w14:textId="77777777" w:rsidR="00021E6B" w:rsidRDefault="00C875A4">
      <w:pPr>
        <w:pStyle w:val="NoSpacing"/>
        <w:numPr>
          <w:ilvl w:val="0"/>
          <w:numId w:val="5"/>
        </w:numPr>
        <w:rPr>
          <w:rFonts w:ascii="Arial" w:eastAsia="Arial" w:hAnsi="Arial" w:cs="Arial"/>
          <w:lang w:val="en-US"/>
        </w:rPr>
      </w:pPr>
      <w:r w:rsidRPr="002232E8">
        <w:rPr>
          <w:rFonts w:ascii="Arial" w:hAnsi="Arial"/>
          <w:sz w:val="24"/>
          <w:szCs w:val="24"/>
          <w:lang w:val="en-US"/>
        </w:rPr>
        <w:t xml:space="preserve">Individuals aged 75+ year old watch significantly more television on a </w:t>
      </w:r>
      <w:proofErr w:type="spellStart"/>
      <w:r w:rsidRPr="002232E8">
        <w:rPr>
          <w:rFonts w:ascii="Arial" w:hAnsi="Arial"/>
          <w:sz w:val="24"/>
          <w:szCs w:val="24"/>
          <w:lang w:val="en-US"/>
        </w:rPr>
        <w:t>tv</w:t>
      </w:r>
      <w:proofErr w:type="spellEnd"/>
      <w:r w:rsidRPr="002232E8">
        <w:rPr>
          <w:rFonts w:ascii="Arial" w:hAnsi="Arial"/>
          <w:sz w:val="24"/>
          <w:szCs w:val="24"/>
          <w:lang w:val="en-US"/>
        </w:rPr>
        <w:t xml:space="preserve"> set than 60-64/</w:t>
      </w:r>
      <w:r>
        <w:rPr>
          <w:rFonts w:ascii="Arial" w:hAnsi="Arial"/>
          <w:lang w:val="en-US"/>
        </w:rPr>
        <w:t>65-</w:t>
      </w:r>
      <w:proofErr w:type="gramStart"/>
      <w:r>
        <w:rPr>
          <w:rFonts w:ascii="Arial" w:hAnsi="Arial"/>
          <w:lang w:val="en-US"/>
        </w:rPr>
        <w:t>69 year old</w:t>
      </w:r>
      <w:proofErr w:type="gramEnd"/>
      <w:r>
        <w:rPr>
          <w:rFonts w:ascii="Arial" w:hAnsi="Arial"/>
          <w:lang w:val="en-US"/>
        </w:rPr>
        <w:t xml:space="preserve"> groups. </w:t>
      </w:r>
    </w:p>
    <w:p w14:paraId="63D364A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3FC8BBA6"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Generally, the higher the number of years of education, the less participants watch television on a </w:t>
      </w:r>
      <w:r w:rsidR="008C532E">
        <w:rPr>
          <w:rFonts w:ascii="Arial" w:hAnsi="Arial"/>
          <w:lang w:val="en-US"/>
        </w:rPr>
        <w:t>television</w:t>
      </w:r>
      <w:r>
        <w:rPr>
          <w:rFonts w:ascii="Arial" w:hAnsi="Arial"/>
          <w:lang w:val="en-US"/>
        </w:rPr>
        <w:t xml:space="preserve"> set and/or computer.</w:t>
      </w:r>
    </w:p>
    <w:p w14:paraId="12D3A18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5BE78F4E"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Participants who assess their income as “a lot above” watch significantly less television on a </w:t>
      </w:r>
      <w:r w:rsidR="008C532E">
        <w:rPr>
          <w:rFonts w:ascii="Arial" w:hAnsi="Arial"/>
          <w:lang w:val="en-US"/>
        </w:rPr>
        <w:t>television</w:t>
      </w:r>
      <w:r>
        <w:rPr>
          <w:rFonts w:ascii="Arial" w:hAnsi="Arial"/>
          <w:lang w:val="en-US"/>
        </w:rPr>
        <w:t xml:space="preserve"> set than individuals who assess their income as “slightly below” or “a lot below”.</w:t>
      </w:r>
    </w:p>
    <w:p w14:paraId="5D717B1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658B7CA3"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Single (with no children) individuals watch significantly more television on a </w:t>
      </w:r>
      <w:r w:rsidR="008C532E">
        <w:rPr>
          <w:rFonts w:ascii="Arial" w:hAnsi="Arial"/>
          <w:lang w:val="en-US"/>
        </w:rPr>
        <w:t>television</w:t>
      </w:r>
      <w:r>
        <w:rPr>
          <w:rFonts w:ascii="Arial" w:hAnsi="Arial"/>
          <w:lang w:val="en-US"/>
        </w:rPr>
        <w:t xml:space="preserve"> set than married participants (with or without children). Married participants (with children) also watch less television on a </w:t>
      </w:r>
      <w:r w:rsidR="008C532E">
        <w:rPr>
          <w:rFonts w:ascii="Arial" w:hAnsi="Arial"/>
          <w:lang w:val="en-US"/>
        </w:rPr>
        <w:t>television</w:t>
      </w:r>
      <w:r>
        <w:rPr>
          <w:rFonts w:ascii="Arial" w:hAnsi="Arial"/>
          <w:lang w:val="en-US"/>
        </w:rPr>
        <w:t xml:space="preserve"> set than individuals that are divorced or widowed, with or without children.  As for radio, widowed (with or without children) listen to radio on a radio set significantly more than married (with or without children) participants. </w:t>
      </w:r>
    </w:p>
    <w:p w14:paraId="3339794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3EEE0FCD"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There are no significant age group differences as for the time spent listening to an MP3, CD player or </w:t>
      </w:r>
      <w:proofErr w:type="spellStart"/>
      <w:r>
        <w:rPr>
          <w:rFonts w:ascii="Arial" w:hAnsi="Arial"/>
          <w:lang w:val="en-US"/>
        </w:rPr>
        <w:t>Wifi</w:t>
      </w:r>
      <w:proofErr w:type="spellEnd"/>
      <w:r>
        <w:rPr>
          <w:rFonts w:ascii="Arial" w:hAnsi="Arial"/>
          <w:lang w:val="en-US"/>
        </w:rPr>
        <w:t xml:space="preserve"> radio; Likewise, as for watching video, DVD, TV box, or hard disk recordings.</w:t>
      </w:r>
    </w:p>
    <w:p w14:paraId="4DE10D1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4DC09249" w14:textId="77777777" w:rsidR="00021E6B" w:rsidRDefault="00C875A4">
      <w:pPr>
        <w:pStyle w:val="NoSpacing"/>
        <w:numPr>
          <w:ilvl w:val="0"/>
          <w:numId w:val="5"/>
        </w:numPr>
        <w:rPr>
          <w:rFonts w:ascii="Arial" w:eastAsia="Arial" w:hAnsi="Arial" w:cs="Arial"/>
          <w:lang w:val="en-US"/>
        </w:rPr>
      </w:pPr>
      <w:r>
        <w:rPr>
          <w:rFonts w:ascii="Arial" w:hAnsi="Arial"/>
          <w:lang w:val="en-US"/>
        </w:rPr>
        <w:lastRenderedPageBreak/>
        <w:t xml:space="preserve">Media equipment significantly varies according to age groups. The </w:t>
      </w:r>
      <w:proofErr w:type="gramStart"/>
      <w:r>
        <w:rPr>
          <w:rFonts w:ascii="Arial" w:hAnsi="Arial"/>
          <w:lang w:val="en-US"/>
        </w:rPr>
        <w:t>60-64 year old</w:t>
      </w:r>
      <w:proofErr w:type="gramEnd"/>
      <w:r>
        <w:rPr>
          <w:rFonts w:ascii="Arial" w:hAnsi="Arial"/>
          <w:lang w:val="en-US"/>
        </w:rPr>
        <w:t xml:space="preserve"> group possess significantly more audio and video equipment (with the exception of the video recorder and the CD player for which the 75+ year old group possess significantly more).</w:t>
      </w:r>
    </w:p>
    <w:p w14:paraId="6FB8CD5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1FA96B41"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Watching TV or listening to radio on the mobile phone is mostly done by the </w:t>
      </w:r>
      <w:proofErr w:type="gramStart"/>
      <w:r>
        <w:rPr>
          <w:rFonts w:ascii="Arial" w:hAnsi="Arial"/>
          <w:lang w:val="en-US"/>
        </w:rPr>
        <w:t>60-64 year old</w:t>
      </w:r>
      <w:proofErr w:type="gramEnd"/>
      <w:r>
        <w:rPr>
          <w:rFonts w:ascii="Arial" w:hAnsi="Arial"/>
          <w:lang w:val="en-US"/>
        </w:rPr>
        <w:t xml:space="preserve"> participants.</w:t>
      </w:r>
    </w:p>
    <w:p w14:paraId="4184536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0C7FCE57"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Participants of all age groups listen to radio mostly at home on during transportation; a similar pattern emerges as for the television (watching it mostly at home).  </w:t>
      </w:r>
    </w:p>
    <w:p w14:paraId="1E1B9D2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24678CF9"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Preferred media activity when participants have free time: the </w:t>
      </w:r>
      <w:proofErr w:type="gramStart"/>
      <w:r>
        <w:rPr>
          <w:rFonts w:ascii="Arial" w:hAnsi="Arial"/>
          <w:lang w:val="en-US"/>
        </w:rPr>
        <w:t>60-64 year old</w:t>
      </w:r>
      <w:proofErr w:type="gramEnd"/>
      <w:r>
        <w:rPr>
          <w:rFonts w:ascii="Arial" w:hAnsi="Arial"/>
          <w:lang w:val="en-US"/>
        </w:rPr>
        <w:t xml:space="preserve"> individuals would significantly watch more videos or DVDs than older individuals. However, the 75+ year old individuals prefer would prefer listening to radio and watching </w:t>
      </w:r>
      <w:r w:rsidR="008C532E">
        <w:rPr>
          <w:rFonts w:ascii="Arial" w:hAnsi="Arial"/>
          <w:lang w:val="en-US"/>
        </w:rPr>
        <w:t>television</w:t>
      </w:r>
      <w:r>
        <w:rPr>
          <w:rFonts w:ascii="Arial" w:hAnsi="Arial"/>
          <w:lang w:val="en-US"/>
        </w:rPr>
        <w:t xml:space="preserve">. </w:t>
      </w:r>
    </w:p>
    <w:p w14:paraId="3397F6B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67E07E2E"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What sources of information to turn to, to get “important information (i.e. outcome of a political election) or “factual information” (Q20, i.e. historical date or economic figure)? In both cases, results suggest that the 75+ year old individuals rely significantly more on </w:t>
      </w:r>
      <w:r w:rsidR="008C532E">
        <w:rPr>
          <w:rFonts w:ascii="Arial" w:hAnsi="Arial"/>
          <w:lang w:val="en-US"/>
        </w:rPr>
        <w:t>television</w:t>
      </w:r>
      <w:r>
        <w:rPr>
          <w:rFonts w:ascii="Arial" w:hAnsi="Arial"/>
          <w:lang w:val="en-US"/>
        </w:rPr>
        <w:t xml:space="preserve"> or radio than do other age groups. </w:t>
      </w:r>
    </w:p>
    <w:p w14:paraId="2A55914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rFonts w:ascii="Arial" w:eastAsia="Arial" w:hAnsi="Arial" w:cs="Arial"/>
          <w:lang w:val="en-US"/>
        </w:rPr>
      </w:pPr>
    </w:p>
    <w:p w14:paraId="2FB390E9" w14:textId="77777777" w:rsidR="00021E6B" w:rsidRDefault="00C875A4">
      <w:pPr>
        <w:pStyle w:val="NoSpacing"/>
        <w:numPr>
          <w:ilvl w:val="0"/>
          <w:numId w:val="5"/>
        </w:numPr>
        <w:rPr>
          <w:rFonts w:ascii="Arial" w:eastAsia="Arial" w:hAnsi="Arial" w:cs="Arial"/>
          <w:lang w:val="en-US"/>
        </w:rPr>
      </w:pPr>
      <w:r>
        <w:rPr>
          <w:rFonts w:ascii="Arial" w:hAnsi="Arial"/>
          <w:lang w:val="en-US"/>
        </w:rPr>
        <w:t xml:space="preserve">The more positive is the subjective assessment of heath and global life satisfaction, the less individuals watch </w:t>
      </w:r>
      <w:r w:rsidR="008C532E">
        <w:rPr>
          <w:rFonts w:ascii="Arial" w:hAnsi="Arial"/>
          <w:lang w:val="en-US"/>
        </w:rPr>
        <w:t>television</w:t>
      </w:r>
      <w:r>
        <w:rPr>
          <w:rFonts w:ascii="Arial" w:hAnsi="Arial"/>
          <w:lang w:val="en-US"/>
        </w:rPr>
        <w:t xml:space="preserve">, on a </w:t>
      </w:r>
      <w:r w:rsidR="008C532E">
        <w:rPr>
          <w:rFonts w:ascii="Arial" w:hAnsi="Arial"/>
          <w:lang w:val="en-US"/>
        </w:rPr>
        <w:t>television</w:t>
      </w:r>
      <w:r>
        <w:rPr>
          <w:rFonts w:ascii="Arial" w:hAnsi="Arial"/>
          <w:lang w:val="en-US"/>
        </w:rPr>
        <w:t xml:space="preserve"> set. Other </w:t>
      </w:r>
      <w:r w:rsidR="008C532E">
        <w:rPr>
          <w:rFonts w:ascii="Arial" w:hAnsi="Arial"/>
          <w:lang w:val="en-US"/>
        </w:rPr>
        <w:t>television</w:t>
      </w:r>
      <w:r>
        <w:rPr>
          <w:rFonts w:ascii="Arial" w:hAnsi="Arial"/>
          <w:lang w:val="en-US"/>
        </w:rPr>
        <w:t xml:space="preserve"> settings are not significantly correlated with these two variables. </w:t>
      </w:r>
    </w:p>
    <w:p w14:paraId="16CB09F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p>
    <w:p w14:paraId="064B3CD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0F69458B"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p w14:paraId="549DA5A2"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r>
        <w:rPr>
          <w:rFonts w:ascii="Calibri" w:eastAsia="Calibri" w:hAnsi="Calibri" w:cs="Calibri"/>
          <w:sz w:val="22"/>
          <w:szCs w:val="22"/>
        </w:rPr>
        <w:tab/>
      </w:r>
    </w:p>
    <w:p w14:paraId="3EE82446"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p w14:paraId="6AC464E6"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p w14:paraId="0B5FB2BC"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p w14:paraId="71588E6A"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p w14:paraId="6D5C7A95"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pPr>
      <w:r>
        <w:rPr>
          <w:rFonts w:ascii="Calibri" w:eastAsia="Calibri" w:hAnsi="Calibri" w:cs="Calibri"/>
          <w:sz w:val="22"/>
          <w:szCs w:val="22"/>
        </w:rPr>
        <w:br w:type="page"/>
      </w:r>
    </w:p>
    <w:p w14:paraId="0FD78C8F"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tbl>
      <w:tblPr>
        <w:tblW w:w="51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98"/>
      </w:tblGrid>
      <w:tr w:rsidR="00021E6B" w:rsidRPr="002232E8" w14:paraId="331F8767" w14:textId="77777777">
        <w:trPr>
          <w:trHeight w:val="1080"/>
          <w:jc w:val="center"/>
        </w:trPr>
        <w:tc>
          <w:tcPr>
            <w:tcW w:w="51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38091D" w14:textId="77777777" w:rsidR="00021E6B" w:rsidRDefault="00C875A4">
            <w:pPr>
              <w:pStyle w:val="NoSpacing"/>
              <w:tabs>
                <w:tab w:val="left" w:pos="708"/>
                <w:tab w:val="left" w:pos="1416"/>
                <w:tab w:val="left" w:pos="2124"/>
                <w:tab w:val="left" w:pos="2832"/>
                <w:tab w:val="left" w:pos="3540"/>
                <w:tab w:val="left" w:pos="4248"/>
                <w:tab w:val="left" w:pos="4956"/>
              </w:tabs>
              <w:jc w:val="center"/>
              <w:rPr>
                <w:b/>
                <w:bCs/>
                <w:sz w:val="32"/>
                <w:szCs w:val="32"/>
                <w14:shadow w14:blurRad="50800" w14:dist="19050" w14:dir="2700000" w14:sx="100000" w14:sy="100000" w14:kx="0" w14:ky="0" w14:algn="tl">
                  <w14:srgbClr w14:val="000000">
                    <w14:alpha w14:val="60000"/>
                  </w14:srgbClr>
                </w14:shadow>
              </w:rPr>
            </w:pPr>
            <w:r>
              <w:rPr>
                <w:b/>
                <w:bCs/>
                <w:sz w:val="32"/>
                <w:szCs w:val="32"/>
                <w14:shadow w14:blurRad="50800" w14:dist="19050" w14:dir="2700000" w14:sx="100000" w14:sy="100000" w14:kx="0" w14:ky="0" w14:algn="tl">
                  <w14:srgbClr w14:val="000000">
                    <w14:alpha w14:val="60000"/>
                  </w14:srgbClr>
                </w14:shadow>
              </w:rPr>
              <w:t xml:space="preserve">Personnes âgées et technologies </w:t>
            </w:r>
          </w:p>
          <w:p w14:paraId="0FC27C19" w14:textId="77777777" w:rsidR="00021E6B" w:rsidRDefault="00C875A4">
            <w:pPr>
              <w:pStyle w:val="NoSpacing"/>
              <w:tabs>
                <w:tab w:val="left" w:pos="708"/>
                <w:tab w:val="left" w:pos="1416"/>
                <w:tab w:val="left" w:pos="2124"/>
                <w:tab w:val="left" w:pos="2832"/>
                <w:tab w:val="left" w:pos="3540"/>
                <w:tab w:val="left" w:pos="4248"/>
                <w:tab w:val="left" w:pos="4956"/>
              </w:tabs>
              <w:jc w:val="center"/>
            </w:pPr>
            <w:proofErr w:type="spellStart"/>
            <w:r>
              <w:rPr>
                <w:b/>
                <w:bCs/>
                <w:color w:val="4472C4"/>
                <w:sz w:val="28"/>
                <w:szCs w:val="28"/>
                <w:u w:color="4472C4"/>
                <w14:shadow w14:blurRad="50800" w14:dist="25400" w14:dir="5400000" w14:sx="100000" w14:sy="100000" w14:kx="0" w14:ky="0" w14:algn="tl">
                  <w14:srgbClr w14:val="6E747A">
                    <w14:alpha w14:val="57000"/>
                  </w14:srgbClr>
                </w14:shadow>
              </w:rPr>
              <w:t>Sociodemographic</w:t>
            </w:r>
            <w:proofErr w:type="spellEnd"/>
            <w:r>
              <w:rPr>
                <w:b/>
                <w:bCs/>
                <w:color w:val="4472C4"/>
                <w:sz w:val="28"/>
                <w:szCs w:val="28"/>
                <w:u w:color="4472C4"/>
                <w14:shadow w14:blurRad="50800" w14:dist="25400" w14:dir="5400000" w14:sx="100000" w14:sy="100000" w14:kx="0" w14:ky="0" w14:algn="tl">
                  <w14:srgbClr w14:val="6E747A">
                    <w14:alpha w14:val="57000"/>
                  </w14:srgbClr>
                </w14:shadow>
              </w:rPr>
              <w:t xml:space="preserve"> Profile / Canadian Data</w:t>
            </w:r>
          </w:p>
        </w:tc>
      </w:tr>
    </w:tbl>
    <w:p w14:paraId="5B9A365C" w14:textId="77777777" w:rsidR="00021E6B" w:rsidRPr="009F1601"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jc w:val="center"/>
        <w:rPr>
          <w:rFonts w:ascii="Calibri" w:eastAsia="Calibri" w:hAnsi="Calibri" w:cs="Calibri"/>
          <w:sz w:val="22"/>
          <w:szCs w:val="22"/>
          <w:lang w:val="fr-CA"/>
        </w:rPr>
      </w:pPr>
    </w:p>
    <w:p w14:paraId="46244D40"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jc w:val="center"/>
        <w:rPr>
          <w:rFonts w:ascii="Calibri" w:eastAsia="Calibri" w:hAnsi="Calibri" w:cs="Calibri"/>
          <w:sz w:val="22"/>
          <w:szCs w:val="22"/>
          <w:lang w:val="fr-FR"/>
        </w:rPr>
      </w:pPr>
    </w:p>
    <w:p w14:paraId="79B4645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pPr>
    </w:p>
    <w:p w14:paraId="18796FF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pPr>
    </w:p>
    <w:p w14:paraId="05C9FA6E"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pPr>
    </w:p>
    <w:p w14:paraId="3099064F"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50DE79B6" wp14:editId="01F02D3D">
            <wp:extent cx="1924050" cy="904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a:extLst/>
                    </a:blip>
                    <a:stretch>
                      <a:fillRect/>
                    </a:stretch>
                  </pic:blipFill>
                  <pic:spPr>
                    <a:xfrm>
                      <a:off x="0" y="0"/>
                      <a:ext cx="1924050" cy="904875"/>
                    </a:xfrm>
                    <a:prstGeom prst="rect">
                      <a:avLst/>
                    </a:prstGeom>
                    <a:ln w="12700" cap="flat">
                      <a:noFill/>
                      <a:miter lim="400000"/>
                    </a:ln>
                    <a:effectLst/>
                  </pic:spPr>
                </pic:pic>
              </a:graphicData>
            </a:graphic>
          </wp:inline>
        </w:drawing>
      </w:r>
      <w:r>
        <w:rPr>
          <w:noProof/>
          <w:lang w:val="en-US"/>
        </w:rPr>
        <w:drawing>
          <wp:inline distT="0" distB="0" distL="0" distR="0" wp14:anchorId="760422C5" wp14:editId="17B6E6D1">
            <wp:extent cx="2667000" cy="12858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0">
                      <a:extLst/>
                    </a:blip>
                    <a:stretch>
                      <a:fillRect/>
                    </a:stretch>
                  </pic:blipFill>
                  <pic:spPr>
                    <a:xfrm>
                      <a:off x="0" y="0"/>
                      <a:ext cx="2667000" cy="1285875"/>
                    </a:xfrm>
                    <a:prstGeom prst="rect">
                      <a:avLst/>
                    </a:prstGeom>
                    <a:ln w="12700" cap="flat">
                      <a:noFill/>
                      <a:miter lim="400000"/>
                    </a:ln>
                    <a:effectLst/>
                  </pic:spPr>
                </pic:pic>
              </a:graphicData>
            </a:graphic>
          </wp:inline>
        </w:drawing>
      </w:r>
    </w:p>
    <w:p w14:paraId="7993CEF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67740B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7FA201F"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5EC1A515" wp14:editId="45E70992">
            <wp:extent cx="3485325" cy="18827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1">
                      <a:extLst/>
                    </a:blip>
                    <a:stretch>
                      <a:fillRect/>
                    </a:stretch>
                  </pic:blipFill>
                  <pic:spPr>
                    <a:xfrm>
                      <a:off x="0" y="0"/>
                      <a:ext cx="3485325" cy="1882775"/>
                    </a:xfrm>
                    <a:prstGeom prst="rect">
                      <a:avLst/>
                    </a:prstGeom>
                    <a:ln w="12700" cap="flat">
                      <a:noFill/>
                      <a:miter lim="400000"/>
                    </a:ln>
                    <a:effectLst/>
                  </pic:spPr>
                </pic:pic>
              </a:graphicData>
            </a:graphic>
          </wp:inline>
        </w:drawing>
      </w:r>
      <w:r>
        <w:rPr>
          <w:noProof/>
          <w:lang w:val="en-US"/>
        </w:rPr>
        <w:drawing>
          <wp:inline distT="0" distB="0" distL="0" distR="0" wp14:anchorId="4B66F1F1" wp14:editId="475C8477">
            <wp:extent cx="3218795" cy="189578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2">
                      <a:extLst/>
                    </a:blip>
                    <a:stretch>
                      <a:fillRect/>
                    </a:stretch>
                  </pic:blipFill>
                  <pic:spPr>
                    <a:xfrm>
                      <a:off x="0" y="0"/>
                      <a:ext cx="3218795" cy="1895781"/>
                    </a:xfrm>
                    <a:prstGeom prst="rect">
                      <a:avLst/>
                    </a:prstGeom>
                    <a:ln w="12700" cap="flat">
                      <a:noFill/>
                      <a:miter lim="400000"/>
                    </a:ln>
                    <a:effectLst/>
                  </pic:spPr>
                </pic:pic>
              </a:graphicData>
            </a:graphic>
          </wp:inline>
        </w:drawing>
      </w:r>
    </w:p>
    <w:p w14:paraId="71AEF9D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p>
    <w:p w14:paraId="60B45A64"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lastRenderedPageBreak/>
        <w:drawing>
          <wp:inline distT="0" distB="0" distL="0" distR="0" wp14:anchorId="4352A1DF" wp14:editId="5418BD47">
            <wp:extent cx="2743200" cy="18573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3">
                      <a:extLst/>
                    </a:blip>
                    <a:stretch>
                      <a:fillRect/>
                    </a:stretch>
                  </pic:blipFill>
                  <pic:spPr>
                    <a:xfrm>
                      <a:off x="0" y="0"/>
                      <a:ext cx="2743200" cy="1857375"/>
                    </a:xfrm>
                    <a:prstGeom prst="rect">
                      <a:avLst/>
                    </a:prstGeom>
                    <a:ln w="12700" cap="flat">
                      <a:noFill/>
                      <a:miter lim="400000"/>
                    </a:ln>
                    <a:effectLst/>
                  </pic:spPr>
                </pic:pic>
              </a:graphicData>
            </a:graphic>
          </wp:inline>
        </w:drawing>
      </w:r>
      <w:r>
        <w:rPr>
          <w:noProof/>
          <w:lang w:val="en-US"/>
        </w:rPr>
        <w:drawing>
          <wp:inline distT="0" distB="0" distL="0" distR="0" wp14:anchorId="542241C1" wp14:editId="414177B5">
            <wp:extent cx="2876550" cy="18573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4">
                      <a:extLst/>
                    </a:blip>
                    <a:stretch>
                      <a:fillRect/>
                    </a:stretch>
                  </pic:blipFill>
                  <pic:spPr>
                    <a:xfrm>
                      <a:off x="0" y="0"/>
                      <a:ext cx="2876550" cy="1857375"/>
                    </a:xfrm>
                    <a:prstGeom prst="rect">
                      <a:avLst/>
                    </a:prstGeom>
                    <a:ln w="12700" cap="flat">
                      <a:noFill/>
                      <a:miter lim="400000"/>
                    </a:ln>
                    <a:effectLst/>
                  </pic:spPr>
                </pic:pic>
              </a:graphicData>
            </a:graphic>
          </wp:inline>
        </w:drawing>
      </w:r>
    </w:p>
    <w:p w14:paraId="01FC96B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p>
    <w:p w14:paraId="522E5234"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079A387E" wp14:editId="4275F62A">
            <wp:extent cx="3286125" cy="16668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5">
                      <a:extLst/>
                    </a:blip>
                    <a:stretch>
                      <a:fillRect/>
                    </a:stretch>
                  </pic:blipFill>
                  <pic:spPr>
                    <a:xfrm>
                      <a:off x="0" y="0"/>
                      <a:ext cx="3286125" cy="1666875"/>
                    </a:xfrm>
                    <a:prstGeom prst="rect">
                      <a:avLst/>
                    </a:prstGeom>
                    <a:ln w="12700" cap="flat">
                      <a:noFill/>
                      <a:miter lim="400000"/>
                    </a:ln>
                    <a:effectLst/>
                  </pic:spPr>
                </pic:pic>
              </a:graphicData>
            </a:graphic>
          </wp:inline>
        </w:drawing>
      </w:r>
    </w:p>
    <w:p w14:paraId="5614746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9C35AC7"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67E74B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C4F491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48B410A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EEFEF4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6AD2BD51" w14:textId="77777777">
        <w:trPr>
          <w:trHeight w:val="260"/>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C1087" w14:textId="77777777" w:rsidR="00021E6B" w:rsidRPr="009F1601"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rPr>
                <w:lang w:val="en-US"/>
              </w:rPr>
            </w:pPr>
            <w:r>
              <w:rPr>
                <w:lang w:val="en-US"/>
                <w14:shadow w14:blurRad="50800" w14:dist="19050" w14:dir="2700000" w14:sx="100000" w14:sy="100000" w14:kx="0" w14:ky="0" w14:algn="tl">
                  <w14:srgbClr w14:val="000000">
                    <w14:alpha w14:val="60000"/>
                  </w14:srgbClr>
                </w14:shadow>
              </w:rPr>
              <w:t xml:space="preserve">Q28-29 Subjective Health and Life Satisfaction </w:t>
            </w:r>
          </w:p>
        </w:tc>
      </w:tr>
    </w:tbl>
    <w:p w14:paraId="31B5C80F"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5C8B633"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00298B2"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EA8BA2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49FA7409"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42719288" wp14:editId="1A0F4D1E">
            <wp:extent cx="5943600" cy="1231096"/>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6">
                      <a:extLst/>
                    </a:blip>
                    <a:stretch>
                      <a:fillRect/>
                    </a:stretch>
                  </pic:blipFill>
                  <pic:spPr>
                    <a:xfrm>
                      <a:off x="0" y="0"/>
                      <a:ext cx="5943600" cy="1231096"/>
                    </a:xfrm>
                    <a:prstGeom prst="rect">
                      <a:avLst/>
                    </a:prstGeom>
                    <a:ln w="12700" cap="flat">
                      <a:noFill/>
                      <a:miter lim="400000"/>
                    </a:ln>
                    <a:effectLst/>
                  </pic:spPr>
                </pic:pic>
              </a:graphicData>
            </a:graphic>
          </wp:inline>
        </w:drawing>
      </w:r>
    </w:p>
    <w:p w14:paraId="28425F8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556905D"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pPr>
      <w:r>
        <w:rPr>
          <w:rFonts w:ascii="Calibri" w:eastAsia="Calibri" w:hAnsi="Calibri" w:cs="Calibri"/>
          <w:sz w:val="22"/>
          <w:szCs w:val="22"/>
        </w:rPr>
        <w:br w:type="page"/>
      </w:r>
    </w:p>
    <w:p w14:paraId="34ECF19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0FDE5D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767E9E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tbl>
      <w:tblPr>
        <w:tblW w:w="51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198"/>
      </w:tblGrid>
      <w:tr w:rsidR="00021E6B" w14:paraId="2DDDA48B" w14:textId="77777777">
        <w:trPr>
          <w:trHeight w:val="1280"/>
          <w:jc w:val="center"/>
        </w:trPr>
        <w:tc>
          <w:tcPr>
            <w:tcW w:w="519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8846F73" w14:textId="77777777" w:rsidR="00021E6B" w:rsidRDefault="00C875A4">
            <w:pPr>
              <w:pStyle w:val="NoSpacing"/>
              <w:tabs>
                <w:tab w:val="left" w:pos="708"/>
                <w:tab w:val="left" w:pos="1416"/>
                <w:tab w:val="left" w:pos="2124"/>
                <w:tab w:val="left" w:pos="2832"/>
                <w:tab w:val="left" w:pos="3540"/>
                <w:tab w:val="left" w:pos="4248"/>
                <w:tab w:val="left" w:pos="4956"/>
              </w:tabs>
              <w:jc w:val="center"/>
              <w:rPr>
                <w:b/>
                <w:bCs/>
                <w:sz w:val="32"/>
                <w:szCs w:val="32"/>
                <w14:shadow w14:blurRad="50800" w14:dist="19050" w14:dir="2700000" w14:sx="100000" w14:sy="100000" w14:kx="0" w14:ky="0" w14:algn="tl">
                  <w14:srgbClr w14:val="000000">
                    <w14:alpha w14:val="60000"/>
                  </w14:srgbClr>
                </w14:shadow>
              </w:rPr>
            </w:pPr>
            <w:r>
              <w:rPr>
                <w:b/>
                <w:bCs/>
                <w:sz w:val="32"/>
                <w:szCs w:val="32"/>
                <w14:shadow w14:blurRad="50800" w14:dist="19050" w14:dir="2700000" w14:sx="100000" w14:sy="100000" w14:kx="0" w14:ky="0" w14:algn="tl">
                  <w14:srgbClr w14:val="000000">
                    <w14:alpha w14:val="60000"/>
                  </w14:srgbClr>
                </w14:shadow>
              </w:rPr>
              <w:t xml:space="preserve">Personnes âgées et Technologies </w:t>
            </w:r>
          </w:p>
          <w:p w14:paraId="6BB466C7" w14:textId="77777777" w:rsidR="00021E6B" w:rsidRDefault="00C875A4">
            <w:pPr>
              <w:pStyle w:val="NoSpacing"/>
              <w:tabs>
                <w:tab w:val="left" w:pos="708"/>
                <w:tab w:val="left" w:pos="1416"/>
                <w:tab w:val="left" w:pos="2124"/>
                <w:tab w:val="left" w:pos="2832"/>
                <w:tab w:val="left" w:pos="3540"/>
                <w:tab w:val="left" w:pos="4248"/>
                <w:tab w:val="left" w:pos="4956"/>
              </w:tabs>
              <w:jc w:val="center"/>
              <w:rPr>
                <w:b/>
                <w:bCs/>
                <w:color w:val="4472C4"/>
                <w:sz w:val="24"/>
                <w:szCs w:val="24"/>
                <w:u w:color="4472C4"/>
                <w14:shadow w14:blurRad="50800" w14:dist="25400" w14:dir="5400000" w14:sx="100000" w14:sy="100000" w14:kx="0" w14:ky="0" w14:algn="tl">
                  <w14:srgbClr w14:val="6E747A">
                    <w14:alpha w14:val="57000"/>
                  </w14:srgbClr>
                </w14:shadow>
              </w:rPr>
            </w:pPr>
            <w:r>
              <w:rPr>
                <w:b/>
                <w:bCs/>
                <w:color w:val="4472C4"/>
                <w:sz w:val="24"/>
                <w:szCs w:val="24"/>
                <w:u w:color="4472C4"/>
                <w:lang w:val="en-US"/>
                <w14:shadow w14:blurRad="50800" w14:dist="25400" w14:dir="5400000" w14:sx="100000" w14:sy="100000" w14:kx="0" w14:ky="0" w14:algn="tl">
                  <w14:srgbClr w14:val="6E747A">
                    <w14:alpha w14:val="57000"/>
                  </w14:srgbClr>
                </w14:shadow>
              </w:rPr>
              <w:t xml:space="preserve">TELEVISION AND RADIO CONSUMPTION / CANADIAN DATA </w:t>
            </w:r>
          </w:p>
          <w:p w14:paraId="02D7DA48" w14:textId="77777777" w:rsidR="00021E6B" w:rsidRDefault="00C875A4">
            <w:pPr>
              <w:pStyle w:val="NoSpacing"/>
              <w:tabs>
                <w:tab w:val="left" w:pos="708"/>
                <w:tab w:val="left" w:pos="1416"/>
                <w:tab w:val="left" w:pos="2124"/>
                <w:tab w:val="left" w:pos="2832"/>
                <w:tab w:val="left" w:pos="3540"/>
                <w:tab w:val="left" w:pos="4248"/>
                <w:tab w:val="left" w:pos="4956"/>
              </w:tabs>
              <w:jc w:val="center"/>
            </w:pPr>
            <w:r>
              <w:rPr>
                <w:b/>
                <w:bCs/>
                <w:color w:val="4472C4"/>
                <w:sz w:val="24"/>
                <w:szCs w:val="24"/>
                <w:u w:color="4472C4"/>
                <w:lang w:val="en-US"/>
                <w14:shadow w14:blurRad="50800" w14:dist="25400" w14:dir="5400000" w14:sx="100000" w14:sy="100000" w14:kx="0" w14:ky="0" w14:algn="tl">
                  <w14:srgbClr w14:val="6E747A">
                    <w14:alpha w14:val="57000"/>
                  </w14:srgbClr>
                </w14:shadow>
              </w:rPr>
              <w:t>Summary</w:t>
            </w:r>
          </w:p>
        </w:tc>
      </w:tr>
    </w:tbl>
    <w:p w14:paraId="2AFE3EAB"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76B6EC40"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292540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2AF59D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C16E5F3"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r>
        <w:rPr>
          <w:rFonts w:ascii="Calibri" w:eastAsia="Calibri" w:hAnsi="Calibri" w:cs="Calibri"/>
          <w:sz w:val="22"/>
          <w:szCs w:val="22"/>
        </w:rPr>
        <w:t xml:space="preserve"> Data was weighted to allow inferential statistical analysis (see following table: </w:t>
      </w:r>
      <w:r>
        <w:rPr>
          <w:rFonts w:ascii="Calibri" w:eastAsia="Calibri" w:hAnsi="Calibri" w:cs="Calibri"/>
          <w:i/>
          <w:iCs/>
          <w:sz w:val="22"/>
          <w:szCs w:val="22"/>
        </w:rPr>
        <w:t>Final Weighted Sample – by Region</w:t>
      </w:r>
      <w:r>
        <w:rPr>
          <w:rFonts w:ascii="Calibri" w:eastAsia="Calibri" w:hAnsi="Calibri" w:cs="Calibri"/>
          <w:sz w:val="22"/>
          <w:szCs w:val="22"/>
        </w:rPr>
        <w:t xml:space="preserve">).  </w:t>
      </w:r>
    </w:p>
    <w:tbl>
      <w:tblPr>
        <w:tblW w:w="90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5"/>
        <w:gridCol w:w="160"/>
        <w:gridCol w:w="1135"/>
        <w:gridCol w:w="160"/>
        <w:gridCol w:w="1135"/>
        <w:gridCol w:w="160"/>
        <w:gridCol w:w="1497"/>
        <w:gridCol w:w="1100"/>
        <w:gridCol w:w="1293"/>
        <w:gridCol w:w="1298"/>
      </w:tblGrid>
      <w:tr w:rsidR="00021E6B" w14:paraId="3A31278E" w14:textId="77777777">
        <w:trPr>
          <w:trHeight w:val="253"/>
        </w:trPr>
        <w:tc>
          <w:tcPr>
            <w:tcW w:w="907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6861" w14:textId="77777777" w:rsidR="00021E6B" w:rsidRDefault="00C875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Fonts w:ascii="Arial" w:hAnsi="Arial"/>
                <w:b/>
                <w:bCs/>
                <w:color w:val="FFFFFF"/>
                <w:u w:color="FFFFFF"/>
              </w:rPr>
              <w:t xml:space="preserve">ample –  </w:t>
            </w:r>
            <w:r>
              <w:rPr>
                <w:rFonts w:ascii="Arial" w:hAnsi="Arial"/>
                <w:b/>
                <w:bCs/>
              </w:rPr>
              <w:t>Final Weighted Sample – By Region</w:t>
            </w:r>
          </w:p>
        </w:tc>
      </w:tr>
      <w:tr w:rsidR="00021E6B" w14:paraId="5E7BF565" w14:textId="77777777">
        <w:trPr>
          <w:trHeight w:val="375"/>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5605" w14:textId="77777777" w:rsidR="00021E6B" w:rsidRDefault="00C875A4">
            <w:pPr>
              <w:pStyle w:val="Default"/>
              <w:tabs>
                <w:tab w:val="left" w:pos="708"/>
              </w:tabs>
            </w:pPr>
            <w:r>
              <w:rPr>
                <w:rFonts w:ascii="Arial" w:hAnsi="Arial"/>
                <w:b/>
                <w:bCs/>
                <w:color w:val="FFFFFF"/>
                <w:sz w:val="16"/>
                <w:szCs w:val="16"/>
                <w:u w:color="FFFFFF"/>
              </w:rPr>
              <w:t xml:space="preserve">British Columbia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BB2B8" w14:textId="77777777" w:rsidR="00021E6B" w:rsidRDefault="00C875A4">
            <w:pPr>
              <w:pStyle w:val="Default"/>
              <w:tabs>
                <w:tab w:val="left" w:pos="708"/>
              </w:tabs>
              <w:jc w:val="center"/>
            </w:pPr>
            <w:proofErr w:type="spellStart"/>
            <w:r>
              <w:rPr>
                <w:rFonts w:ascii="Arial" w:hAnsi="Arial"/>
                <w:b/>
                <w:bCs/>
                <w:color w:val="FFFFFF"/>
                <w:sz w:val="16"/>
                <w:szCs w:val="16"/>
                <w:u w:color="FFFFFF"/>
              </w:rPr>
              <w:t>A</w:t>
            </w:r>
            <w:r>
              <w:rPr>
                <w:rFonts w:ascii="Arial" w:hAnsi="Arial"/>
                <w:b/>
                <w:bCs/>
                <w:sz w:val="16"/>
                <w:szCs w:val="16"/>
              </w:rPr>
              <w:t>British</w:t>
            </w:r>
            <w:proofErr w:type="spellEnd"/>
            <w:r>
              <w:rPr>
                <w:rFonts w:ascii="Arial" w:hAnsi="Arial"/>
                <w:b/>
                <w:bCs/>
                <w:sz w:val="16"/>
                <w:szCs w:val="16"/>
              </w:rPr>
              <w:t xml:space="preserve"> Columbia</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3F976" w14:textId="77777777" w:rsidR="00021E6B" w:rsidRDefault="00C875A4">
            <w:pPr>
              <w:pStyle w:val="Default"/>
              <w:tabs>
                <w:tab w:val="left" w:pos="708"/>
              </w:tabs>
              <w:jc w:val="center"/>
            </w:pPr>
            <w:r>
              <w:rPr>
                <w:rFonts w:ascii="Arial" w:hAnsi="Arial"/>
                <w:b/>
                <w:bCs/>
                <w:sz w:val="16"/>
                <w:szCs w:val="16"/>
              </w:rPr>
              <w:t>Alberta</w:t>
            </w:r>
          </w:p>
        </w:tc>
        <w:tc>
          <w:tcPr>
            <w:tcW w:w="16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5FBAE" w14:textId="77777777" w:rsidR="00021E6B" w:rsidRDefault="00C875A4">
            <w:pPr>
              <w:pStyle w:val="Default"/>
              <w:tabs>
                <w:tab w:val="left" w:pos="708"/>
                <w:tab w:val="left" w:pos="1416"/>
              </w:tabs>
              <w:jc w:val="center"/>
            </w:pPr>
            <w:r>
              <w:rPr>
                <w:rFonts w:ascii="Arial" w:hAnsi="Arial"/>
                <w:b/>
                <w:bCs/>
                <w:sz w:val="16"/>
                <w:szCs w:val="16"/>
              </w:rPr>
              <w:t>Manitoba/Saskatchewan</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3DEA" w14:textId="77777777" w:rsidR="00021E6B" w:rsidRDefault="00C875A4">
            <w:pPr>
              <w:pStyle w:val="Default"/>
              <w:tabs>
                <w:tab w:val="left" w:pos="708"/>
              </w:tabs>
              <w:jc w:val="center"/>
            </w:pPr>
            <w:r>
              <w:rPr>
                <w:rFonts w:ascii="Arial" w:hAnsi="Arial"/>
                <w:b/>
                <w:bCs/>
                <w:sz w:val="16"/>
                <w:szCs w:val="16"/>
              </w:rPr>
              <w:t>Ontario</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3605" w14:textId="77777777" w:rsidR="00021E6B" w:rsidRDefault="00C875A4">
            <w:pPr>
              <w:pStyle w:val="Default"/>
              <w:tabs>
                <w:tab w:val="left" w:pos="708"/>
              </w:tabs>
              <w:jc w:val="center"/>
            </w:pPr>
            <w:r>
              <w:rPr>
                <w:rFonts w:ascii="Arial" w:hAnsi="Arial"/>
                <w:b/>
                <w:bCs/>
                <w:sz w:val="16"/>
                <w:szCs w:val="16"/>
              </w:rPr>
              <w:t>Quebec</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0288" w14:textId="77777777" w:rsidR="00021E6B" w:rsidRDefault="00C875A4">
            <w:pPr>
              <w:pStyle w:val="Default"/>
              <w:tabs>
                <w:tab w:val="left" w:pos="708"/>
              </w:tabs>
              <w:jc w:val="center"/>
            </w:pPr>
            <w:r>
              <w:rPr>
                <w:rFonts w:ascii="Arial" w:hAnsi="Arial"/>
                <w:b/>
                <w:bCs/>
                <w:sz w:val="16"/>
                <w:szCs w:val="16"/>
              </w:rPr>
              <w:t>Atlantic</w:t>
            </w:r>
          </w:p>
        </w:tc>
      </w:tr>
      <w:tr w:rsidR="00021E6B" w14:paraId="1AC5721F" w14:textId="77777777">
        <w:trPr>
          <w:trHeight w:val="253"/>
        </w:trPr>
        <w:tc>
          <w:tcPr>
            <w:tcW w:w="907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2034D" w14:textId="77777777" w:rsidR="00021E6B" w:rsidRDefault="00C875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Arial" w:hAnsi="Arial"/>
                <w:b/>
                <w:bCs/>
                <w:color w:val="FFFFFF"/>
                <w:u w:color="FFFFFF"/>
              </w:rPr>
              <w:t xml:space="preserve">Gender </w:t>
            </w:r>
          </w:p>
        </w:tc>
      </w:tr>
      <w:tr w:rsidR="00021E6B" w14:paraId="3C1460B0" w14:textId="77777777">
        <w:trPr>
          <w:trHeight w:val="23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DE3D" w14:textId="77777777" w:rsidR="00021E6B" w:rsidRDefault="00C875A4">
            <w:pPr>
              <w:pStyle w:val="Default"/>
              <w:tabs>
                <w:tab w:val="left" w:pos="708"/>
              </w:tabs>
            </w:pPr>
            <w:r>
              <w:rPr>
                <w:rFonts w:ascii="Arial" w:hAnsi="Arial"/>
                <w:sz w:val="20"/>
                <w:szCs w:val="20"/>
              </w:rPr>
              <w:t xml:space="preserve">Male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8EDE" w14:textId="77777777" w:rsidR="00021E6B" w:rsidRDefault="00C875A4">
            <w:pPr>
              <w:pStyle w:val="Default"/>
              <w:tabs>
                <w:tab w:val="left" w:pos="708"/>
              </w:tabs>
            </w:pPr>
            <w:r>
              <w:rPr>
                <w:rFonts w:ascii="Arial" w:hAnsi="Arial"/>
                <w:b/>
                <w:bCs/>
                <w:sz w:val="20"/>
                <w:szCs w:val="20"/>
              </w:rPr>
              <w:t xml:space="preserve">47%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CA25" w14:textId="77777777" w:rsidR="00021E6B" w:rsidRDefault="00C875A4">
            <w:pPr>
              <w:pStyle w:val="Default"/>
              <w:tabs>
                <w:tab w:val="left" w:pos="708"/>
              </w:tabs>
            </w:pPr>
            <w:r>
              <w:rPr>
                <w:rFonts w:ascii="Arial" w:hAnsi="Arial"/>
                <w:b/>
                <w:bCs/>
                <w:sz w:val="20"/>
                <w:szCs w:val="20"/>
              </w:rPr>
              <w:t xml:space="preserve">48%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ABB5" w14:textId="77777777" w:rsidR="00021E6B" w:rsidRDefault="00C875A4">
            <w:pPr>
              <w:pStyle w:val="Default"/>
              <w:tabs>
                <w:tab w:val="left" w:pos="708"/>
                <w:tab w:val="left" w:pos="1416"/>
              </w:tabs>
            </w:pPr>
            <w:r>
              <w:rPr>
                <w:rFonts w:ascii="Arial" w:hAnsi="Arial"/>
                <w:b/>
                <w:bCs/>
                <w:sz w:val="20"/>
                <w:szCs w:val="20"/>
              </w:rPr>
              <w:t xml:space="preserve">46%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166C" w14:textId="77777777" w:rsidR="00021E6B" w:rsidRDefault="00C875A4">
            <w:pPr>
              <w:pStyle w:val="Default"/>
              <w:tabs>
                <w:tab w:val="left" w:pos="708"/>
              </w:tabs>
            </w:pPr>
            <w:r>
              <w:rPr>
                <w:rFonts w:ascii="Arial" w:hAnsi="Arial"/>
                <w:b/>
                <w:bCs/>
                <w:sz w:val="20"/>
                <w:szCs w:val="20"/>
              </w:rPr>
              <w:t xml:space="preserve">46%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DF4A5" w14:textId="77777777" w:rsidR="00021E6B" w:rsidRDefault="00C875A4">
            <w:pPr>
              <w:pStyle w:val="Default"/>
              <w:tabs>
                <w:tab w:val="left" w:pos="708"/>
              </w:tabs>
            </w:pPr>
            <w:r>
              <w:rPr>
                <w:rFonts w:ascii="Arial" w:hAnsi="Arial"/>
                <w:b/>
                <w:bCs/>
                <w:sz w:val="20"/>
                <w:szCs w:val="20"/>
              </w:rPr>
              <w:t xml:space="preserve">46%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1564" w14:textId="77777777" w:rsidR="00021E6B" w:rsidRDefault="00C875A4">
            <w:pPr>
              <w:pStyle w:val="Default"/>
              <w:tabs>
                <w:tab w:val="left" w:pos="708"/>
              </w:tabs>
            </w:pPr>
            <w:r>
              <w:rPr>
                <w:rFonts w:ascii="Arial" w:hAnsi="Arial"/>
                <w:b/>
                <w:bCs/>
                <w:sz w:val="20"/>
                <w:szCs w:val="20"/>
              </w:rPr>
              <w:t xml:space="preserve">47% </w:t>
            </w:r>
          </w:p>
        </w:tc>
      </w:tr>
      <w:tr w:rsidR="00021E6B" w14:paraId="59F1F606" w14:textId="77777777">
        <w:trPr>
          <w:trHeight w:val="23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E2516" w14:textId="77777777" w:rsidR="00021E6B" w:rsidRDefault="00C875A4">
            <w:pPr>
              <w:pStyle w:val="Default"/>
              <w:tabs>
                <w:tab w:val="left" w:pos="708"/>
              </w:tabs>
            </w:pPr>
            <w:r>
              <w:rPr>
                <w:rFonts w:ascii="Arial" w:hAnsi="Arial"/>
                <w:sz w:val="20"/>
                <w:szCs w:val="20"/>
              </w:rPr>
              <w:t xml:space="preserve">Female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C570" w14:textId="77777777" w:rsidR="00021E6B" w:rsidRDefault="00C875A4">
            <w:pPr>
              <w:pStyle w:val="Default"/>
              <w:tabs>
                <w:tab w:val="left" w:pos="708"/>
              </w:tabs>
            </w:pPr>
            <w:r>
              <w:rPr>
                <w:rFonts w:ascii="Arial" w:hAnsi="Arial"/>
                <w:b/>
                <w:bCs/>
                <w:sz w:val="20"/>
                <w:szCs w:val="20"/>
              </w:rPr>
              <w:t xml:space="preserve">53%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2AAF" w14:textId="77777777" w:rsidR="00021E6B" w:rsidRDefault="00C875A4">
            <w:pPr>
              <w:pStyle w:val="Default"/>
              <w:tabs>
                <w:tab w:val="left" w:pos="708"/>
              </w:tabs>
            </w:pPr>
            <w:r>
              <w:rPr>
                <w:rFonts w:ascii="Arial" w:hAnsi="Arial"/>
                <w:b/>
                <w:bCs/>
                <w:sz w:val="20"/>
                <w:szCs w:val="20"/>
              </w:rPr>
              <w:t xml:space="preserve">52%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62FA" w14:textId="77777777" w:rsidR="00021E6B" w:rsidRDefault="00C875A4">
            <w:pPr>
              <w:pStyle w:val="Default"/>
              <w:tabs>
                <w:tab w:val="left" w:pos="708"/>
                <w:tab w:val="left" w:pos="1416"/>
              </w:tabs>
            </w:pPr>
            <w:r>
              <w:rPr>
                <w:rFonts w:ascii="Arial" w:hAnsi="Arial"/>
                <w:b/>
                <w:bCs/>
                <w:sz w:val="20"/>
                <w:szCs w:val="20"/>
              </w:rPr>
              <w:t xml:space="preserve">54%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BDDC7" w14:textId="77777777" w:rsidR="00021E6B" w:rsidRDefault="00C875A4">
            <w:pPr>
              <w:pStyle w:val="Default"/>
              <w:tabs>
                <w:tab w:val="left" w:pos="708"/>
              </w:tabs>
            </w:pPr>
            <w:r>
              <w:rPr>
                <w:rFonts w:ascii="Arial" w:hAnsi="Arial"/>
                <w:b/>
                <w:bCs/>
                <w:sz w:val="20"/>
                <w:szCs w:val="20"/>
              </w:rPr>
              <w:t xml:space="preserve">54%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7BD50" w14:textId="77777777" w:rsidR="00021E6B" w:rsidRDefault="00C875A4">
            <w:pPr>
              <w:pStyle w:val="Default"/>
              <w:tabs>
                <w:tab w:val="left" w:pos="708"/>
              </w:tabs>
            </w:pPr>
            <w:r>
              <w:rPr>
                <w:rFonts w:ascii="Arial" w:hAnsi="Arial"/>
                <w:b/>
                <w:bCs/>
                <w:sz w:val="20"/>
                <w:szCs w:val="20"/>
              </w:rPr>
              <w:t xml:space="preserve">54%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66B60" w14:textId="77777777" w:rsidR="00021E6B" w:rsidRDefault="00C875A4">
            <w:pPr>
              <w:pStyle w:val="Default"/>
              <w:tabs>
                <w:tab w:val="left" w:pos="708"/>
              </w:tabs>
            </w:pPr>
            <w:r>
              <w:rPr>
                <w:rFonts w:ascii="Arial" w:hAnsi="Arial"/>
                <w:b/>
                <w:bCs/>
                <w:sz w:val="20"/>
                <w:szCs w:val="20"/>
              </w:rPr>
              <w:t xml:space="preserve">53% </w:t>
            </w:r>
          </w:p>
        </w:tc>
      </w:tr>
      <w:tr w:rsidR="00021E6B" w14:paraId="47915B8E" w14:textId="77777777">
        <w:trPr>
          <w:trHeight w:val="253"/>
        </w:trPr>
        <w:tc>
          <w:tcPr>
            <w:tcW w:w="9073"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82E34" w14:textId="77777777" w:rsidR="00021E6B" w:rsidRDefault="00C875A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Arial" w:hAnsi="Arial"/>
                <w:b/>
                <w:bCs/>
                <w:color w:val="FFFFFF"/>
                <w:u w:color="FFFFFF"/>
              </w:rPr>
              <w:t xml:space="preserve">Age </w:t>
            </w:r>
          </w:p>
        </w:tc>
      </w:tr>
      <w:tr w:rsidR="00021E6B" w14:paraId="5AF0A360" w14:textId="77777777">
        <w:trPr>
          <w:trHeight w:val="45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2282F" w14:textId="77777777" w:rsidR="00021E6B" w:rsidRDefault="00C875A4">
            <w:pPr>
              <w:pStyle w:val="Default"/>
              <w:tabs>
                <w:tab w:val="left" w:pos="708"/>
              </w:tabs>
            </w:pPr>
            <w:r>
              <w:rPr>
                <w:rFonts w:ascii="Arial" w:hAnsi="Arial"/>
                <w:sz w:val="20"/>
                <w:szCs w:val="20"/>
              </w:rPr>
              <w:t xml:space="preserve">Between 60 and 64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C657E" w14:textId="77777777" w:rsidR="00021E6B" w:rsidRDefault="00C875A4">
            <w:pPr>
              <w:pStyle w:val="Default"/>
              <w:tabs>
                <w:tab w:val="left" w:pos="708"/>
              </w:tabs>
            </w:pPr>
            <w:r>
              <w:rPr>
                <w:rFonts w:ascii="Arial" w:hAnsi="Arial"/>
                <w:b/>
                <w:bCs/>
                <w:sz w:val="20"/>
                <w:szCs w:val="20"/>
              </w:rPr>
              <w:t xml:space="preserve">28%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E8B7B" w14:textId="77777777" w:rsidR="00021E6B" w:rsidRDefault="00C875A4">
            <w:pPr>
              <w:pStyle w:val="Default"/>
              <w:tabs>
                <w:tab w:val="left" w:pos="708"/>
              </w:tabs>
            </w:pPr>
            <w:r>
              <w:rPr>
                <w:rFonts w:ascii="Arial" w:hAnsi="Arial"/>
                <w:b/>
                <w:bCs/>
                <w:sz w:val="20"/>
                <w:szCs w:val="20"/>
              </w:rPr>
              <w:t xml:space="preserve">31%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DF81" w14:textId="77777777" w:rsidR="00021E6B" w:rsidRDefault="00C875A4">
            <w:pPr>
              <w:pStyle w:val="Default"/>
              <w:tabs>
                <w:tab w:val="left" w:pos="708"/>
                <w:tab w:val="left" w:pos="1416"/>
              </w:tabs>
            </w:pPr>
            <w:r>
              <w:rPr>
                <w:rFonts w:ascii="Arial" w:hAnsi="Arial"/>
                <w:b/>
                <w:bCs/>
                <w:sz w:val="20"/>
                <w:szCs w:val="20"/>
              </w:rPr>
              <w:t xml:space="preserve">28%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080B" w14:textId="77777777" w:rsidR="00021E6B" w:rsidRDefault="00C875A4">
            <w:pPr>
              <w:pStyle w:val="Default"/>
              <w:tabs>
                <w:tab w:val="left" w:pos="708"/>
              </w:tabs>
            </w:pPr>
            <w:r>
              <w:rPr>
                <w:rFonts w:ascii="Arial" w:hAnsi="Arial"/>
                <w:b/>
                <w:bCs/>
                <w:sz w:val="20"/>
                <w:szCs w:val="20"/>
              </w:rPr>
              <w:t xml:space="preserve">27%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15FF8" w14:textId="77777777" w:rsidR="00021E6B" w:rsidRDefault="00C875A4">
            <w:pPr>
              <w:pStyle w:val="Default"/>
              <w:tabs>
                <w:tab w:val="left" w:pos="708"/>
              </w:tabs>
            </w:pPr>
            <w:r>
              <w:rPr>
                <w:rFonts w:ascii="Arial" w:hAnsi="Arial"/>
                <w:b/>
                <w:bCs/>
                <w:sz w:val="20"/>
                <w:szCs w:val="20"/>
              </w:rPr>
              <w:t xml:space="preserve">27%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7BFF" w14:textId="77777777" w:rsidR="00021E6B" w:rsidRDefault="00C875A4">
            <w:pPr>
              <w:pStyle w:val="Default"/>
              <w:tabs>
                <w:tab w:val="left" w:pos="708"/>
              </w:tabs>
            </w:pPr>
            <w:r>
              <w:rPr>
                <w:rFonts w:ascii="Arial" w:hAnsi="Arial"/>
                <w:b/>
                <w:bCs/>
                <w:sz w:val="20"/>
                <w:szCs w:val="20"/>
              </w:rPr>
              <w:t xml:space="preserve">28% </w:t>
            </w:r>
          </w:p>
        </w:tc>
      </w:tr>
      <w:tr w:rsidR="00021E6B" w14:paraId="685D41B4" w14:textId="77777777">
        <w:trPr>
          <w:trHeight w:val="45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88D7D" w14:textId="77777777" w:rsidR="00021E6B" w:rsidRDefault="00C875A4">
            <w:pPr>
              <w:pStyle w:val="Default"/>
              <w:tabs>
                <w:tab w:val="left" w:pos="708"/>
              </w:tabs>
            </w:pPr>
            <w:r>
              <w:rPr>
                <w:rFonts w:ascii="Arial" w:hAnsi="Arial"/>
                <w:sz w:val="20"/>
                <w:szCs w:val="20"/>
              </w:rPr>
              <w:t xml:space="preserve">Between 65 and 69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D8AA" w14:textId="77777777" w:rsidR="00021E6B" w:rsidRDefault="00C875A4">
            <w:pPr>
              <w:pStyle w:val="Default"/>
              <w:tabs>
                <w:tab w:val="left" w:pos="708"/>
              </w:tabs>
            </w:pPr>
            <w:r>
              <w:rPr>
                <w:rFonts w:ascii="Arial" w:hAnsi="Arial"/>
                <w:b/>
                <w:bCs/>
                <w:sz w:val="20"/>
                <w:szCs w:val="20"/>
              </w:rPr>
              <w:t xml:space="preserve">24%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CCCF2" w14:textId="77777777" w:rsidR="00021E6B" w:rsidRDefault="00C875A4">
            <w:pPr>
              <w:pStyle w:val="Default"/>
              <w:tabs>
                <w:tab w:val="left" w:pos="708"/>
              </w:tabs>
            </w:pPr>
            <w:r>
              <w:rPr>
                <w:rFonts w:ascii="Arial" w:hAnsi="Arial"/>
                <w:b/>
                <w:bCs/>
                <w:sz w:val="20"/>
                <w:szCs w:val="20"/>
              </w:rPr>
              <w:t xml:space="preserve">24%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3BEE" w14:textId="77777777" w:rsidR="00021E6B" w:rsidRDefault="00C875A4">
            <w:pPr>
              <w:pStyle w:val="Default"/>
              <w:tabs>
                <w:tab w:val="left" w:pos="708"/>
                <w:tab w:val="left" w:pos="1416"/>
              </w:tabs>
            </w:pPr>
            <w:r>
              <w:rPr>
                <w:rFonts w:ascii="Arial" w:hAnsi="Arial"/>
                <w:b/>
                <w:bCs/>
                <w:sz w:val="20"/>
                <w:szCs w:val="20"/>
              </w:rPr>
              <w:t xml:space="preserve">23%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ACF08" w14:textId="77777777" w:rsidR="00021E6B" w:rsidRDefault="00C875A4">
            <w:pPr>
              <w:pStyle w:val="Default"/>
              <w:tabs>
                <w:tab w:val="left" w:pos="708"/>
              </w:tabs>
            </w:pPr>
            <w:r>
              <w:rPr>
                <w:rFonts w:ascii="Arial" w:hAnsi="Arial"/>
                <w:b/>
                <w:bCs/>
                <w:sz w:val="20"/>
                <w:szCs w:val="20"/>
              </w:rPr>
              <w:t xml:space="preserve">24%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613E" w14:textId="77777777" w:rsidR="00021E6B" w:rsidRDefault="00C875A4">
            <w:pPr>
              <w:pStyle w:val="Default"/>
              <w:tabs>
                <w:tab w:val="left" w:pos="708"/>
              </w:tabs>
            </w:pPr>
            <w:r>
              <w:rPr>
                <w:rFonts w:ascii="Arial" w:hAnsi="Arial"/>
                <w:b/>
                <w:bCs/>
                <w:sz w:val="20"/>
                <w:szCs w:val="20"/>
              </w:rPr>
              <w:t xml:space="preserve">24%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03A66" w14:textId="77777777" w:rsidR="00021E6B" w:rsidRDefault="00C875A4">
            <w:pPr>
              <w:pStyle w:val="Default"/>
              <w:tabs>
                <w:tab w:val="left" w:pos="708"/>
              </w:tabs>
            </w:pPr>
            <w:r>
              <w:rPr>
                <w:rFonts w:ascii="Arial" w:hAnsi="Arial"/>
                <w:b/>
                <w:bCs/>
                <w:sz w:val="20"/>
                <w:szCs w:val="20"/>
              </w:rPr>
              <w:t xml:space="preserve">25% </w:t>
            </w:r>
          </w:p>
        </w:tc>
      </w:tr>
      <w:tr w:rsidR="00021E6B" w14:paraId="3019D976" w14:textId="77777777">
        <w:trPr>
          <w:trHeight w:val="45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E90E6" w14:textId="77777777" w:rsidR="00021E6B" w:rsidRDefault="00C875A4">
            <w:pPr>
              <w:pStyle w:val="Default"/>
              <w:tabs>
                <w:tab w:val="left" w:pos="708"/>
              </w:tabs>
            </w:pPr>
            <w:r>
              <w:rPr>
                <w:rFonts w:ascii="Arial" w:hAnsi="Arial"/>
                <w:sz w:val="20"/>
                <w:szCs w:val="20"/>
              </w:rPr>
              <w:t xml:space="preserve">Between 70 and 74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9A0B8" w14:textId="77777777" w:rsidR="00021E6B" w:rsidRDefault="00C875A4">
            <w:pPr>
              <w:pStyle w:val="Default"/>
              <w:tabs>
                <w:tab w:val="left" w:pos="708"/>
              </w:tabs>
            </w:pPr>
            <w:r>
              <w:rPr>
                <w:rFonts w:ascii="Arial" w:hAnsi="Arial"/>
                <w:b/>
                <w:bCs/>
                <w:sz w:val="20"/>
                <w:szCs w:val="20"/>
              </w:rPr>
              <w:t xml:space="preserve">17%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9288" w14:textId="77777777" w:rsidR="00021E6B" w:rsidRDefault="00C875A4">
            <w:pPr>
              <w:pStyle w:val="Default"/>
              <w:tabs>
                <w:tab w:val="left" w:pos="708"/>
              </w:tabs>
            </w:pPr>
            <w:r>
              <w:rPr>
                <w:rFonts w:ascii="Arial" w:hAnsi="Arial"/>
                <w:b/>
                <w:bCs/>
                <w:sz w:val="20"/>
                <w:szCs w:val="20"/>
              </w:rPr>
              <w:t xml:space="preserve">16%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D1D28" w14:textId="77777777" w:rsidR="00021E6B" w:rsidRDefault="00C875A4">
            <w:pPr>
              <w:pStyle w:val="Default"/>
              <w:tabs>
                <w:tab w:val="left" w:pos="708"/>
                <w:tab w:val="left" w:pos="1416"/>
              </w:tabs>
            </w:pPr>
            <w:r>
              <w:rPr>
                <w:rFonts w:ascii="Arial" w:hAnsi="Arial"/>
                <w:b/>
                <w:bCs/>
                <w:sz w:val="20"/>
                <w:szCs w:val="20"/>
              </w:rPr>
              <w:t xml:space="preserve">16%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78BF" w14:textId="77777777" w:rsidR="00021E6B" w:rsidRDefault="00C875A4">
            <w:pPr>
              <w:pStyle w:val="Default"/>
              <w:tabs>
                <w:tab w:val="left" w:pos="708"/>
              </w:tabs>
            </w:pPr>
            <w:r>
              <w:rPr>
                <w:rFonts w:ascii="Arial" w:hAnsi="Arial"/>
                <w:b/>
                <w:bCs/>
                <w:sz w:val="20"/>
                <w:szCs w:val="20"/>
              </w:rPr>
              <w:t xml:space="preserve">17%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22D5" w14:textId="77777777" w:rsidR="00021E6B" w:rsidRDefault="00C875A4">
            <w:pPr>
              <w:pStyle w:val="Default"/>
              <w:tabs>
                <w:tab w:val="left" w:pos="708"/>
              </w:tabs>
            </w:pPr>
            <w:r>
              <w:rPr>
                <w:rFonts w:ascii="Arial" w:hAnsi="Arial"/>
                <w:b/>
                <w:bCs/>
                <w:sz w:val="20"/>
                <w:szCs w:val="20"/>
              </w:rPr>
              <w:t xml:space="preserve">18%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3180" w14:textId="77777777" w:rsidR="00021E6B" w:rsidRDefault="00C875A4">
            <w:pPr>
              <w:pStyle w:val="Default"/>
              <w:tabs>
                <w:tab w:val="left" w:pos="708"/>
              </w:tabs>
            </w:pPr>
            <w:r>
              <w:rPr>
                <w:rFonts w:ascii="Arial" w:hAnsi="Arial"/>
                <w:b/>
                <w:bCs/>
                <w:sz w:val="20"/>
                <w:szCs w:val="20"/>
              </w:rPr>
              <w:t xml:space="preserve">18% </w:t>
            </w:r>
          </w:p>
        </w:tc>
      </w:tr>
      <w:tr w:rsidR="00021E6B" w14:paraId="6A7FB718" w14:textId="77777777">
        <w:trPr>
          <w:trHeight w:val="233"/>
        </w:trPr>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85529" w14:textId="77777777" w:rsidR="00021E6B" w:rsidRDefault="00C875A4">
            <w:pPr>
              <w:pStyle w:val="Default"/>
              <w:tabs>
                <w:tab w:val="left" w:pos="708"/>
              </w:tabs>
            </w:pPr>
            <w:r>
              <w:rPr>
                <w:rFonts w:ascii="Arial" w:hAnsi="Arial"/>
                <w:sz w:val="20"/>
                <w:szCs w:val="20"/>
              </w:rPr>
              <w:t xml:space="preserve">75 or older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8092B" w14:textId="77777777" w:rsidR="00021E6B" w:rsidRDefault="00C875A4">
            <w:pPr>
              <w:pStyle w:val="Default"/>
              <w:tabs>
                <w:tab w:val="left" w:pos="708"/>
              </w:tabs>
            </w:pPr>
            <w:r>
              <w:rPr>
                <w:rFonts w:ascii="Arial" w:hAnsi="Arial"/>
                <w:b/>
                <w:bCs/>
                <w:sz w:val="20"/>
                <w:szCs w:val="20"/>
              </w:rPr>
              <w:t xml:space="preserve">31% </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49974" w14:textId="77777777" w:rsidR="00021E6B" w:rsidRDefault="00C875A4">
            <w:pPr>
              <w:pStyle w:val="Default"/>
              <w:tabs>
                <w:tab w:val="left" w:pos="708"/>
              </w:tabs>
            </w:pPr>
            <w:r>
              <w:rPr>
                <w:rFonts w:ascii="Arial" w:hAnsi="Arial"/>
                <w:b/>
                <w:bCs/>
                <w:sz w:val="20"/>
                <w:szCs w:val="20"/>
              </w:rPr>
              <w:t xml:space="preserve">29%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C105" w14:textId="77777777" w:rsidR="00021E6B" w:rsidRDefault="00C875A4">
            <w:pPr>
              <w:pStyle w:val="Default"/>
              <w:tabs>
                <w:tab w:val="left" w:pos="708"/>
                <w:tab w:val="left" w:pos="1416"/>
              </w:tabs>
            </w:pPr>
            <w:r>
              <w:rPr>
                <w:rFonts w:ascii="Arial" w:hAnsi="Arial"/>
                <w:b/>
                <w:bCs/>
                <w:sz w:val="20"/>
                <w:szCs w:val="20"/>
              </w:rPr>
              <w:t xml:space="preserve">33%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BA68" w14:textId="77777777" w:rsidR="00021E6B" w:rsidRDefault="00C875A4">
            <w:pPr>
              <w:pStyle w:val="Default"/>
              <w:tabs>
                <w:tab w:val="left" w:pos="708"/>
              </w:tabs>
            </w:pPr>
            <w:r>
              <w:rPr>
                <w:rFonts w:ascii="Arial" w:hAnsi="Arial"/>
                <w:b/>
                <w:bCs/>
                <w:sz w:val="20"/>
                <w:szCs w:val="20"/>
              </w:rPr>
              <w:t xml:space="preserve">32%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7D63C" w14:textId="77777777" w:rsidR="00021E6B" w:rsidRDefault="00C875A4">
            <w:pPr>
              <w:pStyle w:val="Default"/>
              <w:tabs>
                <w:tab w:val="left" w:pos="708"/>
              </w:tabs>
            </w:pPr>
            <w:r>
              <w:rPr>
                <w:rFonts w:ascii="Arial" w:hAnsi="Arial"/>
                <w:b/>
                <w:bCs/>
                <w:sz w:val="20"/>
                <w:szCs w:val="20"/>
              </w:rPr>
              <w:t xml:space="preserve">31%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AD4F" w14:textId="77777777" w:rsidR="00021E6B" w:rsidRDefault="00C875A4">
            <w:pPr>
              <w:pStyle w:val="Default"/>
              <w:tabs>
                <w:tab w:val="left" w:pos="708"/>
              </w:tabs>
            </w:pPr>
            <w:r>
              <w:rPr>
                <w:rFonts w:ascii="Arial" w:hAnsi="Arial"/>
                <w:b/>
                <w:bCs/>
                <w:sz w:val="20"/>
                <w:szCs w:val="20"/>
              </w:rPr>
              <w:t xml:space="preserve">29% </w:t>
            </w:r>
          </w:p>
        </w:tc>
      </w:tr>
    </w:tbl>
    <w:p w14:paraId="409FF640"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108" w:hanging="108"/>
        <w:rPr>
          <w:rFonts w:ascii="Calibri" w:eastAsia="Calibri" w:hAnsi="Calibri" w:cs="Calibri"/>
          <w:sz w:val="22"/>
          <w:szCs w:val="22"/>
        </w:rPr>
      </w:pPr>
    </w:p>
    <w:p w14:paraId="53B6C99E"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r>
        <w:rPr>
          <w:rFonts w:ascii="Calibri" w:eastAsia="Calibri" w:hAnsi="Calibri" w:cs="Calibri"/>
          <w:sz w:val="22"/>
          <w:szCs w:val="22"/>
        </w:rPr>
        <w:tab/>
      </w:r>
    </w:p>
    <w:p w14:paraId="2661A078"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0A55EEE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DBB604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868378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1277D2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2F82638"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4DEF3E7"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83FE2A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5E6CC5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23A6E8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6B06A4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8EAB34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5EEDC56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62BAC2E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1D3100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091996D0"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r>
        <w:rPr>
          <w:vertAlign w:val="superscript"/>
          <w:lang w:val="en-US"/>
        </w:rPr>
        <w:footnoteReference w:id="2"/>
      </w:r>
      <w:r>
        <w:rPr>
          <w:lang w:val="en-US"/>
        </w:rPr>
        <w:t>Data highlighted in yellow indicate significant statistical differences.</w:t>
      </w: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6DEA9174" w14:textId="77777777">
        <w:trPr>
          <w:trHeight w:val="2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4FA1" w14:textId="77777777" w:rsidR="00021E6B" w:rsidRPr="009F1601"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rPr>
                <w:lang w:val="en-US"/>
              </w:rPr>
            </w:pPr>
            <w:r>
              <w:rPr>
                <w:b/>
                <w:bCs/>
                <w:i/>
                <w:iCs/>
                <w:lang w:val="en-US"/>
                <w14:shadow w14:blurRad="50800" w14:dist="19050" w14:dir="2700000" w14:sx="100000" w14:sy="100000" w14:kx="0" w14:ky="0" w14:algn="tl">
                  <w14:srgbClr w14:val="000000">
                    <w14:alpha w14:val="60000"/>
                  </w14:srgbClr>
                </w14:shadow>
              </w:rPr>
              <w:t>Q1 – Time spent on media</w:t>
            </w:r>
          </w:p>
        </w:tc>
      </w:tr>
    </w:tbl>
    <w:p w14:paraId="5ADAF14C"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08" w:hanging="108"/>
        <w:rPr>
          <w:lang w:val="en-US"/>
        </w:rPr>
      </w:pPr>
    </w:p>
    <w:p w14:paraId="1C67C8A7"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5489728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7FC7AC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BFF82F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580E25FA" wp14:editId="31D3DCDC">
            <wp:extent cx="5943600" cy="86857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png"/>
                    <pic:cNvPicPr>
                      <a:picLocks noChangeAspect="1"/>
                    </pic:cNvPicPr>
                  </pic:nvPicPr>
                  <pic:blipFill>
                    <a:blip r:embed="rId17">
                      <a:extLst/>
                    </a:blip>
                    <a:stretch>
                      <a:fillRect/>
                    </a:stretch>
                  </pic:blipFill>
                  <pic:spPr>
                    <a:xfrm>
                      <a:off x="0" y="0"/>
                      <a:ext cx="5943600" cy="868570"/>
                    </a:xfrm>
                    <a:prstGeom prst="rect">
                      <a:avLst/>
                    </a:prstGeom>
                    <a:ln w="12700" cap="flat">
                      <a:noFill/>
                      <a:miter lim="400000"/>
                    </a:ln>
                    <a:effectLst/>
                  </pic:spPr>
                </pic:pic>
              </a:graphicData>
            </a:graphic>
          </wp:inline>
        </w:drawing>
      </w:r>
    </w:p>
    <w:p w14:paraId="4450AAB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p>
    <w:p w14:paraId="65B28FC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-Individuals aged 75+ watch significantly more television on a </w:t>
      </w:r>
      <w:proofErr w:type="spellStart"/>
      <w:r>
        <w:rPr>
          <w:b/>
          <w:bCs/>
          <w:i/>
          <w:iCs/>
          <w:lang w:val="en-US"/>
        </w:rPr>
        <w:t>tv</w:t>
      </w:r>
      <w:proofErr w:type="spellEnd"/>
      <w:r>
        <w:rPr>
          <w:b/>
          <w:bCs/>
          <w:i/>
          <w:iCs/>
          <w:lang w:val="en-US"/>
        </w:rPr>
        <w:t xml:space="preserve"> set than 60-64/65-</w:t>
      </w:r>
      <w:proofErr w:type="gramStart"/>
      <w:r>
        <w:rPr>
          <w:b/>
          <w:bCs/>
          <w:i/>
          <w:iCs/>
          <w:lang w:val="en-US"/>
        </w:rPr>
        <w:t>69 year old</w:t>
      </w:r>
      <w:proofErr w:type="gramEnd"/>
      <w:r>
        <w:rPr>
          <w:b/>
          <w:bCs/>
          <w:i/>
          <w:iCs/>
          <w:lang w:val="en-US"/>
        </w:rPr>
        <w:t xml:space="preserve"> groups. </w:t>
      </w:r>
    </w:p>
    <w:p w14:paraId="0E4319A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F3B799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67B3E3C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B3722C9"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27CCB31F" wp14:editId="730085E0">
            <wp:extent cx="5943600" cy="959799"/>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1.png"/>
                    <pic:cNvPicPr>
                      <a:picLocks noChangeAspect="1"/>
                    </pic:cNvPicPr>
                  </pic:nvPicPr>
                  <pic:blipFill>
                    <a:blip r:embed="rId18">
                      <a:extLst/>
                    </a:blip>
                    <a:stretch>
                      <a:fillRect/>
                    </a:stretch>
                  </pic:blipFill>
                  <pic:spPr>
                    <a:xfrm>
                      <a:off x="0" y="0"/>
                      <a:ext cx="5943600" cy="959799"/>
                    </a:xfrm>
                    <a:prstGeom prst="rect">
                      <a:avLst/>
                    </a:prstGeom>
                    <a:ln w="12700" cap="flat">
                      <a:noFill/>
                      <a:miter lim="400000"/>
                    </a:ln>
                    <a:effectLst/>
                  </pic:spPr>
                </pic:pic>
              </a:graphicData>
            </a:graphic>
          </wp:inline>
        </w:drawing>
      </w:r>
    </w:p>
    <w:p w14:paraId="0D3E67C4"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-Participants living in Alberta listen significantly more radio on a radio set than do Ontarian older adults. </w:t>
      </w:r>
    </w:p>
    <w:p w14:paraId="2E1F8FA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BD72ED9"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761CC581" wp14:editId="48D1CBB1">
            <wp:extent cx="5943600" cy="203826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2.png"/>
                    <pic:cNvPicPr>
                      <a:picLocks noChangeAspect="1"/>
                    </pic:cNvPicPr>
                  </pic:nvPicPr>
                  <pic:blipFill>
                    <a:blip r:embed="rId19">
                      <a:extLst/>
                    </a:blip>
                    <a:stretch>
                      <a:fillRect/>
                    </a:stretch>
                  </pic:blipFill>
                  <pic:spPr>
                    <a:xfrm>
                      <a:off x="0" y="0"/>
                      <a:ext cx="5943600" cy="2038265"/>
                    </a:xfrm>
                    <a:prstGeom prst="rect">
                      <a:avLst/>
                    </a:prstGeom>
                    <a:ln w="12700" cap="flat">
                      <a:noFill/>
                      <a:miter lim="400000"/>
                    </a:ln>
                    <a:effectLst/>
                  </pic:spPr>
                </pic:pic>
              </a:graphicData>
            </a:graphic>
          </wp:inline>
        </w:drawing>
      </w:r>
    </w:p>
    <w:p w14:paraId="592CF64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lang w:val="en-US"/>
        </w:rPr>
      </w:pPr>
    </w:p>
    <w:p w14:paraId="2CEFD0A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lang w:val="en-US"/>
        </w:rPr>
        <w:t>-</w:t>
      </w:r>
      <w:r>
        <w:rPr>
          <w:b/>
          <w:bCs/>
          <w:i/>
          <w:iCs/>
          <w:lang w:val="en-US"/>
        </w:rPr>
        <w:t xml:space="preserve">Generally, the higher the number of years of education, the less participants watch television on a </w:t>
      </w:r>
      <w:proofErr w:type="spellStart"/>
      <w:r>
        <w:rPr>
          <w:b/>
          <w:bCs/>
          <w:i/>
          <w:iCs/>
          <w:lang w:val="en-US"/>
        </w:rPr>
        <w:t>tv</w:t>
      </w:r>
      <w:proofErr w:type="spellEnd"/>
      <w:r>
        <w:rPr>
          <w:b/>
          <w:bCs/>
          <w:i/>
          <w:iCs/>
          <w:lang w:val="en-US"/>
        </w:rPr>
        <w:t xml:space="preserve"> set and/or computer. Precisely, participants that have about 12 years of education watch significantly </w:t>
      </w:r>
      <w:r>
        <w:rPr>
          <w:b/>
          <w:bCs/>
          <w:i/>
          <w:iCs/>
          <w:lang w:val="en-US"/>
        </w:rPr>
        <w:lastRenderedPageBreak/>
        <w:t xml:space="preserve">more television on a </w:t>
      </w:r>
      <w:proofErr w:type="spellStart"/>
      <w:r>
        <w:rPr>
          <w:b/>
          <w:bCs/>
          <w:i/>
          <w:iCs/>
          <w:lang w:val="en-US"/>
        </w:rPr>
        <w:t>tv</w:t>
      </w:r>
      <w:proofErr w:type="spellEnd"/>
      <w:r>
        <w:rPr>
          <w:b/>
          <w:bCs/>
          <w:i/>
          <w:iCs/>
          <w:lang w:val="en-US"/>
        </w:rPr>
        <w:t xml:space="preserve"> set than those who have about 13-14 years or 16 and more </w:t>
      </w:r>
      <w:proofErr w:type="gramStart"/>
      <w:r>
        <w:rPr>
          <w:b/>
          <w:bCs/>
          <w:i/>
          <w:iCs/>
          <w:lang w:val="en-US"/>
        </w:rPr>
        <w:t>years</w:t>
      </w:r>
      <w:proofErr w:type="gramEnd"/>
      <w:r>
        <w:rPr>
          <w:b/>
          <w:bCs/>
          <w:i/>
          <w:iCs/>
          <w:lang w:val="en-US"/>
        </w:rPr>
        <w:t xml:space="preserve"> education. More so, participants who hold 10-11 years of education significantly more television on a computer than those who have 12 years or 15 and more.  </w:t>
      </w:r>
    </w:p>
    <w:p w14:paraId="0724D45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i/>
          <w:iCs/>
          <w:lang w:val="en-US"/>
        </w:rPr>
      </w:pPr>
    </w:p>
    <w:p w14:paraId="2AF1D0A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9DDD34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E004C3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C790E5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B27B4C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D50528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D7BADA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4CC2F0E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DA0E86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51013F8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7EF75E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33801972" wp14:editId="545D0394">
            <wp:extent cx="5943600" cy="2650282"/>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3.png"/>
                    <pic:cNvPicPr>
                      <a:picLocks noChangeAspect="1"/>
                    </pic:cNvPicPr>
                  </pic:nvPicPr>
                  <pic:blipFill>
                    <a:blip r:embed="rId20">
                      <a:extLst/>
                    </a:blip>
                    <a:stretch>
                      <a:fillRect/>
                    </a:stretch>
                  </pic:blipFill>
                  <pic:spPr>
                    <a:xfrm>
                      <a:off x="0" y="0"/>
                      <a:ext cx="5943600" cy="2650282"/>
                    </a:xfrm>
                    <a:prstGeom prst="rect">
                      <a:avLst/>
                    </a:prstGeom>
                    <a:ln w="12700" cap="flat">
                      <a:noFill/>
                      <a:miter lim="400000"/>
                    </a:ln>
                    <a:effectLst/>
                  </pic:spPr>
                </pic:pic>
              </a:graphicData>
            </a:graphic>
          </wp:inline>
        </w:drawing>
      </w:r>
    </w:p>
    <w:p w14:paraId="788B513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p>
    <w:p w14:paraId="13B8C36B"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lang w:val="en-US"/>
        </w:rPr>
        <w:t>-</w:t>
      </w:r>
      <w:r>
        <w:rPr>
          <w:b/>
          <w:bCs/>
          <w:i/>
          <w:iCs/>
          <w:lang w:val="en-US"/>
        </w:rPr>
        <w:t xml:space="preserve">Participants who assess their income as “a lot above” watch significantly less television on a </w:t>
      </w:r>
      <w:proofErr w:type="spellStart"/>
      <w:r>
        <w:rPr>
          <w:b/>
          <w:bCs/>
          <w:i/>
          <w:iCs/>
          <w:lang w:val="en-US"/>
        </w:rPr>
        <w:t>tv</w:t>
      </w:r>
      <w:proofErr w:type="spellEnd"/>
      <w:r>
        <w:rPr>
          <w:b/>
          <w:bCs/>
          <w:i/>
          <w:iCs/>
          <w:lang w:val="en-US"/>
        </w:rPr>
        <w:t xml:space="preserve"> set than individuals who assess their income as “slightly below” or “a lot below”. The same pattern emerges between “slightly above” and “a lot below” groups.    </w:t>
      </w:r>
    </w:p>
    <w:p w14:paraId="322D982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A3286B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F676BC2"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5D9DB150"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0F5F2474" wp14:editId="500627E4">
            <wp:extent cx="5943600" cy="1854638"/>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4.png"/>
                    <pic:cNvPicPr>
                      <a:picLocks noChangeAspect="1"/>
                    </pic:cNvPicPr>
                  </pic:nvPicPr>
                  <pic:blipFill>
                    <a:blip r:embed="rId21">
                      <a:extLst/>
                    </a:blip>
                    <a:stretch>
                      <a:fillRect/>
                    </a:stretch>
                  </pic:blipFill>
                  <pic:spPr>
                    <a:xfrm>
                      <a:off x="0" y="0"/>
                      <a:ext cx="5943600" cy="1854638"/>
                    </a:xfrm>
                    <a:prstGeom prst="rect">
                      <a:avLst/>
                    </a:prstGeom>
                    <a:ln w="12700" cap="flat">
                      <a:noFill/>
                      <a:miter lim="400000"/>
                    </a:ln>
                    <a:effectLst/>
                  </pic:spPr>
                </pic:pic>
              </a:graphicData>
            </a:graphic>
          </wp:inline>
        </w:drawing>
      </w:r>
    </w:p>
    <w:p w14:paraId="05A840F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2D1746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586BC5D2"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-Single (with no children) individuals watch significantly more television on a </w:t>
      </w:r>
      <w:proofErr w:type="spellStart"/>
      <w:r>
        <w:rPr>
          <w:b/>
          <w:bCs/>
          <w:i/>
          <w:iCs/>
          <w:lang w:val="en-US"/>
        </w:rPr>
        <w:t>tv</w:t>
      </w:r>
      <w:proofErr w:type="spellEnd"/>
      <w:r>
        <w:rPr>
          <w:b/>
          <w:bCs/>
          <w:i/>
          <w:iCs/>
          <w:lang w:val="en-US"/>
        </w:rPr>
        <w:t xml:space="preserve"> set than married participants (with or without children). Married participants (with children) also watch less television on a </w:t>
      </w:r>
      <w:proofErr w:type="spellStart"/>
      <w:r>
        <w:rPr>
          <w:b/>
          <w:bCs/>
          <w:i/>
          <w:iCs/>
          <w:lang w:val="en-US"/>
        </w:rPr>
        <w:t>tv</w:t>
      </w:r>
      <w:proofErr w:type="spellEnd"/>
      <w:r>
        <w:rPr>
          <w:b/>
          <w:bCs/>
          <w:i/>
          <w:iCs/>
          <w:lang w:val="en-US"/>
        </w:rPr>
        <w:t xml:space="preserve"> set than individuals that are divorced or widowed, with or without children.  As for radio, widowed (with or without children) listen to radio on a radio set significantly more than married (with or without children) participants. </w:t>
      </w:r>
    </w:p>
    <w:p w14:paraId="3990F5C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931FA7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5D623D8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CE075BC"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A117E8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C2F8A42"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6D7ECE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4A92FF8"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pPr>
      <w:r>
        <w:rPr>
          <w:rFonts w:ascii="Calibri" w:eastAsia="Calibri" w:hAnsi="Calibri" w:cs="Calibri"/>
          <w:sz w:val="22"/>
          <w:szCs w:val="22"/>
        </w:rPr>
        <w:br w:type="page"/>
      </w: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25ADB62B" w14:textId="77777777">
        <w:trPr>
          <w:trHeight w:val="2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F7D7" w14:textId="77777777" w:rsidR="00021E6B" w:rsidRPr="009F1601"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rPr>
                <w:lang w:val="en-US"/>
              </w:rPr>
            </w:pPr>
            <w:r>
              <w:rPr>
                <w:b/>
                <w:bCs/>
                <w:i/>
                <w:iCs/>
                <w:lang w:val="en-US"/>
                <w14:shadow w14:blurRad="50800" w14:dist="19050" w14:dir="2700000" w14:sx="100000" w14:sy="100000" w14:kx="0" w14:ky="0" w14:algn="tl">
                  <w14:srgbClr w14:val="000000">
                    <w14:alpha w14:val="60000"/>
                  </w14:srgbClr>
                </w14:shadow>
              </w:rPr>
              <w:lastRenderedPageBreak/>
              <w:t>Q4 and 5 – Time spent on audio and video</w:t>
            </w:r>
          </w:p>
        </w:tc>
      </w:tr>
    </w:tbl>
    <w:p w14:paraId="143258E7"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108" w:hanging="108"/>
        <w:rPr>
          <w:rFonts w:ascii="Calibri" w:eastAsia="Calibri" w:hAnsi="Calibri" w:cs="Calibri"/>
          <w:sz w:val="22"/>
          <w:szCs w:val="22"/>
        </w:rPr>
      </w:pPr>
    </w:p>
    <w:p w14:paraId="6A89621E"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rPr>
          <w:rFonts w:ascii="Calibri" w:eastAsia="Calibri" w:hAnsi="Calibri" w:cs="Calibri"/>
          <w:sz w:val="22"/>
          <w:szCs w:val="22"/>
        </w:rPr>
      </w:pPr>
    </w:p>
    <w:p w14:paraId="33860EB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8EE3E18"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1735470C" wp14:editId="71F35C71">
            <wp:extent cx="5838825" cy="2105025"/>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5.png"/>
                    <pic:cNvPicPr>
                      <a:picLocks noChangeAspect="1"/>
                    </pic:cNvPicPr>
                  </pic:nvPicPr>
                  <pic:blipFill>
                    <a:blip r:embed="rId22">
                      <a:extLst/>
                    </a:blip>
                    <a:stretch>
                      <a:fillRect/>
                    </a:stretch>
                  </pic:blipFill>
                  <pic:spPr>
                    <a:xfrm>
                      <a:off x="0" y="0"/>
                      <a:ext cx="5838825" cy="2105025"/>
                    </a:xfrm>
                    <a:prstGeom prst="rect">
                      <a:avLst/>
                    </a:prstGeom>
                    <a:ln w="12700" cap="flat">
                      <a:noFill/>
                      <a:miter lim="400000"/>
                    </a:ln>
                    <a:effectLst/>
                  </pic:spPr>
                </pic:pic>
              </a:graphicData>
            </a:graphic>
          </wp:inline>
        </w:drawing>
      </w:r>
    </w:p>
    <w:p w14:paraId="26D0F57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9667CED"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-There are no significant age group differences as for the time spent listening to an MP3, CD player or </w:t>
      </w:r>
      <w:proofErr w:type="spellStart"/>
      <w:r>
        <w:rPr>
          <w:b/>
          <w:bCs/>
          <w:i/>
          <w:iCs/>
          <w:lang w:val="en-US"/>
        </w:rPr>
        <w:t>Wifi</w:t>
      </w:r>
      <w:proofErr w:type="spellEnd"/>
      <w:r>
        <w:rPr>
          <w:b/>
          <w:bCs/>
          <w:i/>
          <w:iCs/>
          <w:lang w:val="en-US"/>
        </w:rPr>
        <w:t xml:space="preserve"> radio; Likewise, as for watching video, DVD, TV box, or hard disk recordings.</w:t>
      </w:r>
    </w:p>
    <w:p w14:paraId="2BD352A3"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pPr>
      <w:r>
        <w:rPr>
          <w:rFonts w:ascii="Calibri" w:eastAsia="Calibri" w:hAnsi="Calibri" w:cs="Calibri"/>
          <w:sz w:val="22"/>
          <w:szCs w:val="22"/>
        </w:rPr>
        <w:br w:type="page"/>
      </w: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168E4651" w14:textId="77777777">
        <w:trPr>
          <w:trHeight w:val="2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F614"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pPr>
            <w:r>
              <w:rPr>
                <w:b/>
                <w:bCs/>
                <w:lang w:val="en-US"/>
                <w14:shadow w14:blurRad="50800" w14:dist="19050" w14:dir="2700000" w14:sx="100000" w14:sy="100000" w14:kx="0" w14:ky="0" w14:algn="tl">
                  <w14:srgbClr w14:val="000000">
                    <w14:alpha w14:val="60000"/>
                  </w14:srgbClr>
                </w14:shadow>
              </w:rPr>
              <w:lastRenderedPageBreak/>
              <w:t>Q3 – Frequencies</w:t>
            </w:r>
          </w:p>
        </w:tc>
      </w:tr>
    </w:tbl>
    <w:p w14:paraId="6B2C5E3A"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108" w:hanging="108"/>
        <w:rPr>
          <w:rFonts w:ascii="Calibri" w:eastAsia="Calibri" w:hAnsi="Calibri" w:cs="Calibri"/>
          <w:sz w:val="22"/>
          <w:szCs w:val="22"/>
        </w:rPr>
      </w:pPr>
    </w:p>
    <w:p w14:paraId="2027B7E1"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rPr>
          <w:rFonts w:ascii="Calibri" w:eastAsia="Calibri" w:hAnsi="Calibri" w:cs="Calibri"/>
          <w:sz w:val="22"/>
          <w:szCs w:val="22"/>
        </w:rPr>
      </w:pPr>
    </w:p>
    <w:p w14:paraId="2EC6004A"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7D05F0A5"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202E4706" wp14:editId="2A678148">
            <wp:extent cx="4886325" cy="24384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6.png"/>
                    <pic:cNvPicPr>
                      <a:picLocks noChangeAspect="1"/>
                    </pic:cNvPicPr>
                  </pic:nvPicPr>
                  <pic:blipFill>
                    <a:blip r:embed="rId23">
                      <a:extLst/>
                    </a:blip>
                    <a:stretch>
                      <a:fillRect/>
                    </a:stretch>
                  </pic:blipFill>
                  <pic:spPr>
                    <a:xfrm>
                      <a:off x="0" y="0"/>
                      <a:ext cx="4886325" cy="2438400"/>
                    </a:xfrm>
                    <a:prstGeom prst="rect">
                      <a:avLst/>
                    </a:prstGeom>
                    <a:ln w="12700" cap="flat">
                      <a:noFill/>
                      <a:miter lim="400000"/>
                    </a:ln>
                    <a:effectLst/>
                  </pic:spPr>
                </pic:pic>
              </a:graphicData>
            </a:graphic>
          </wp:inline>
        </w:drawing>
      </w:r>
    </w:p>
    <w:p w14:paraId="67EDDB02"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b/>
          <w:bCs/>
          <w:i/>
          <w:iCs/>
          <w:sz w:val="22"/>
          <w:szCs w:val="22"/>
        </w:rPr>
      </w:pPr>
      <w:r>
        <w:rPr>
          <w:rFonts w:ascii="Calibri" w:eastAsia="Calibri" w:hAnsi="Calibri" w:cs="Calibri"/>
          <w:b/>
          <w:bCs/>
          <w:i/>
          <w:iCs/>
          <w:sz w:val="22"/>
          <w:szCs w:val="22"/>
        </w:rPr>
        <w:t xml:space="preserve">-Media equipment significantly varies according to age groups. The </w:t>
      </w:r>
      <w:proofErr w:type="gramStart"/>
      <w:r>
        <w:rPr>
          <w:rFonts w:ascii="Calibri" w:eastAsia="Calibri" w:hAnsi="Calibri" w:cs="Calibri"/>
          <w:b/>
          <w:bCs/>
          <w:i/>
          <w:iCs/>
          <w:sz w:val="22"/>
          <w:szCs w:val="22"/>
        </w:rPr>
        <w:t>60-64 year old</w:t>
      </w:r>
      <w:proofErr w:type="gramEnd"/>
      <w:r>
        <w:rPr>
          <w:rFonts w:ascii="Calibri" w:eastAsia="Calibri" w:hAnsi="Calibri" w:cs="Calibri"/>
          <w:b/>
          <w:bCs/>
          <w:i/>
          <w:iCs/>
          <w:sz w:val="22"/>
          <w:szCs w:val="22"/>
        </w:rPr>
        <w:t xml:space="preserve"> group possess significantly more audio and video equipment (with the exception of the video recorder and the CD player for which the 75+ year old group possess significantly more). The latter group actually possesses more media equipment than do the 70-74 group.   </w:t>
      </w:r>
    </w:p>
    <w:p w14:paraId="2AF7B950" w14:textId="77777777" w:rsidR="00021E6B" w:rsidRDefault="00021E6B">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rPr>
          <w:rFonts w:ascii="Calibri" w:eastAsia="Calibri" w:hAnsi="Calibri" w:cs="Calibri"/>
          <w:sz w:val="22"/>
          <w:szCs w:val="22"/>
        </w:rPr>
      </w:pP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494DD741" w14:textId="77777777">
        <w:trPr>
          <w:trHeight w:val="2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06E1"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pPr>
            <w:r>
              <w:rPr>
                <w:b/>
                <w:bCs/>
                <w:lang w:val="en-US"/>
                <w14:shadow w14:blurRad="50800" w14:dist="19050" w14:dir="2700000" w14:sx="100000" w14:sy="100000" w14:kx="0" w14:ky="0" w14:algn="tl">
                  <w14:srgbClr w14:val="000000">
                    <w14:alpha w14:val="60000"/>
                  </w14:srgbClr>
                </w14:shadow>
              </w:rPr>
              <w:t>Q7 –  Frequencies</w:t>
            </w:r>
          </w:p>
        </w:tc>
      </w:tr>
    </w:tbl>
    <w:p w14:paraId="4A47B9A5"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108" w:hanging="108"/>
        <w:rPr>
          <w:rFonts w:ascii="Calibri" w:eastAsia="Calibri" w:hAnsi="Calibri" w:cs="Calibri"/>
          <w:sz w:val="22"/>
          <w:szCs w:val="22"/>
        </w:rPr>
      </w:pPr>
    </w:p>
    <w:p w14:paraId="3CA9D166"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rPr>
          <w:rFonts w:ascii="Calibri" w:eastAsia="Calibri" w:hAnsi="Calibri" w:cs="Calibri"/>
          <w:sz w:val="22"/>
          <w:szCs w:val="22"/>
        </w:rPr>
      </w:pPr>
    </w:p>
    <w:p w14:paraId="59D3037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F386B56"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5FD7614D" wp14:editId="64BC9F03">
            <wp:extent cx="5943600" cy="752463"/>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7.png"/>
                    <pic:cNvPicPr>
                      <a:picLocks noChangeAspect="1"/>
                    </pic:cNvPicPr>
                  </pic:nvPicPr>
                  <pic:blipFill>
                    <a:blip r:embed="rId24">
                      <a:extLst/>
                    </a:blip>
                    <a:stretch>
                      <a:fillRect/>
                    </a:stretch>
                  </pic:blipFill>
                  <pic:spPr>
                    <a:xfrm>
                      <a:off x="0" y="0"/>
                      <a:ext cx="5943600" cy="752463"/>
                    </a:xfrm>
                    <a:prstGeom prst="rect">
                      <a:avLst/>
                    </a:prstGeom>
                    <a:ln w="12700" cap="flat">
                      <a:noFill/>
                      <a:miter lim="400000"/>
                    </a:ln>
                    <a:effectLst/>
                  </pic:spPr>
                </pic:pic>
              </a:graphicData>
            </a:graphic>
          </wp:inline>
        </w:drawing>
      </w:r>
    </w:p>
    <w:p w14:paraId="027A6ED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DFA716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-Watching TV or listening to radio on the mobile phone is mostly done by the </w:t>
      </w:r>
      <w:proofErr w:type="gramStart"/>
      <w:r>
        <w:rPr>
          <w:b/>
          <w:bCs/>
          <w:i/>
          <w:iCs/>
          <w:lang w:val="en-US"/>
        </w:rPr>
        <w:t>60-64 year old</w:t>
      </w:r>
      <w:proofErr w:type="gramEnd"/>
      <w:r>
        <w:rPr>
          <w:b/>
          <w:bCs/>
          <w:i/>
          <w:iCs/>
          <w:lang w:val="en-US"/>
        </w:rPr>
        <w:t xml:space="preserve"> participants. </w:t>
      </w:r>
    </w:p>
    <w:p w14:paraId="7BDDC467" w14:textId="77777777" w:rsidR="00021E6B" w:rsidRDefault="00C875A4">
      <w:pPr>
        <w:pStyle w:val="Body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259" w:lineRule="auto"/>
      </w:pPr>
      <w:r>
        <w:rPr>
          <w:rFonts w:ascii="Calibri" w:eastAsia="Calibri" w:hAnsi="Calibri" w:cs="Calibri"/>
          <w:b/>
          <w:bCs/>
          <w:i/>
          <w:iCs/>
          <w:sz w:val="22"/>
          <w:szCs w:val="22"/>
        </w:rPr>
        <w:br w:type="page"/>
      </w: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60508457" w14:textId="77777777">
        <w:trPr>
          <w:trHeight w:val="2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48C8C"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pPr>
            <w:r>
              <w:rPr>
                <w:b/>
                <w:bCs/>
                <w:lang w:val="en-US"/>
                <w14:shadow w14:blurRad="50800" w14:dist="19050" w14:dir="2700000" w14:sx="100000" w14:sy="100000" w14:kx="0" w14:ky="0" w14:algn="tl">
                  <w14:srgbClr w14:val="000000">
                    <w14:alpha w14:val="60000"/>
                  </w14:srgbClr>
                </w14:shadow>
              </w:rPr>
              <w:lastRenderedPageBreak/>
              <w:t>Q12 and Q13 – Frequencies</w:t>
            </w:r>
          </w:p>
        </w:tc>
      </w:tr>
    </w:tbl>
    <w:p w14:paraId="0BF1E143"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ind w:left="108" w:hanging="108"/>
        <w:rPr>
          <w:rFonts w:ascii="Calibri" w:eastAsia="Calibri" w:hAnsi="Calibri" w:cs="Calibri"/>
          <w:b/>
          <w:bCs/>
          <w:i/>
          <w:iCs/>
          <w:sz w:val="22"/>
          <w:szCs w:val="22"/>
        </w:rPr>
      </w:pPr>
    </w:p>
    <w:p w14:paraId="595B9125" w14:textId="77777777" w:rsidR="00021E6B" w:rsidRDefault="00021E6B">
      <w:pPr>
        <w:pStyle w:val="Body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rPr>
          <w:rFonts w:ascii="Calibri" w:eastAsia="Calibri" w:hAnsi="Calibri" w:cs="Calibri"/>
          <w:b/>
          <w:bCs/>
          <w:i/>
          <w:iCs/>
          <w:sz w:val="22"/>
          <w:szCs w:val="22"/>
        </w:rPr>
      </w:pPr>
    </w:p>
    <w:p w14:paraId="28DC0F0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D3A8B6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6A02461B"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332D2057" wp14:editId="653E72CF">
            <wp:extent cx="5943600" cy="4472496"/>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8.png"/>
                    <pic:cNvPicPr>
                      <a:picLocks noChangeAspect="1"/>
                    </pic:cNvPicPr>
                  </pic:nvPicPr>
                  <pic:blipFill>
                    <a:blip r:embed="rId25">
                      <a:extLst/>
                    </a:blip>
                    <a:stretch>
                      <a:fillRect/>
                    </a:stretch>
                  </pic:blipFill>
                  <pic:spPr>
                    <a:xfrm>
                      <a:off x="0" y="0"/>
                      <a:ext cx="5943600" cy="4472496"/>
                    </a:xfrm>
                    <a:prstGeom prst="rect">
                      <a:avLst/>
                    </a:prstGeom>
                    <a:ln w="12700" cap="flat">
                      <a:noFill/>
                      <a:miter lim="400000"/>
                    </a:ln>
                    <a:effectLst/>
                  </pic:spPr>
                </pic:pic>
              </a:graphicData>
            </a:graphic>
          </wp:inline>
        </w:drawing>
      </w:r>
    </w:p>
    <w:p w14:paraId="74485E49"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-Participants of all age groups, listen to radio mostly at home on during transportation; a similar pattern emerges as for the television (watching it mostly at home).  </w:t>
      </w:r>
    </w:p>
    <w:p w14:paraId="1756069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5A4884A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B170AA3"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DFFD99F"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B4C6A66"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D9AA96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1612F1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858E71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15A7283E"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8BF8AC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73C776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65BD3BE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7AEE6A7"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BD36C2E"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78EA26E8"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49E3786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368F1DC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lang w:val="en-US"/>
        </w:rPr>
      </w:pPr>
    </w:p>
    <w:p w14:paraId="2B770A28"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313655BA" w14:textId="77777777">
        <w:trPr>
          <w:trHeight w:val="260"/>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5B5A" w14:textId="77777777" w:rsidR="00021E6B" w:rsidRPr="009F1601"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rPr>
                <w:lang w:val="en-US"/>
              </w:rPr>
            </w:pPr>
            <w:r>
              <w:rPr>
                <w:b/>
                <w:bCs/>
                <w:lang w:val="en-US"/>
                <w14:shadow w14:blurRad="50800" w14:dist="19050" w14:dir="2700000" w14:sx="100000" w14:sy="100000" w14:kx="0" w14:ky="0" w14:algn="tl">
                  <w14:srgbClr w14:val="000000">
                    <w14:alpha w14:val="60000"/>
                  </w14:srgbClr>
                </w14:shadow>
              </w:rPr>
              <w:t>Q16, Q18 and Q20 – Frequencies</w:t>
            </w:r>
          </w:p>
        </w:tc>
      </w:tr>
    </w:tbl>
    <w:p w14:paraId="0C8385BC"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CAE2383"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2F95247E"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7A5CFB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7F1D6B93"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27C75ACC" wp14:editId="25F317A8">
            <wp:extent cx="5943600" cy="205447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9.png"/>
                    <pic:cNvPicPr>
                      <a:picLocks noChangeAspect="1"/>
                    </pic:cNvPicPr>
                  </pic:nvPicPr>
                  <pic:blipFill>
                    <a:blip r:embed="rId26">
                      <a:extLst/>
                    </a:blip>
                    <a:stretch>
                      <a:fillRect/>
                    </a:stretch>
                  </pic:blipFill>
                  <pic:spPr>
                    <a:xfrm>
                      <a:off x="0" y="0"/>
                      <a:ext cx="5943600" cy="2054475"/>
                    </a:xfrm>
                    <a:prstGeom prst="rect">
                      <a:avLst/>
                    </a:prstGeom>
                    <a:ln w="12700" cap="flat">
                      <a:noFill/>
                      <a:miter lim="400000"/>
                    </a:ln>
                    <a:effectLst/>
                  </pic:spPr>
                </pic:pic>
              </a:graphicData>
            </a:graphic>
          </wp:inline>
        </w:drawing>
      </w:r>
    </w:p>
    <w:p w14:paraId="26B4E20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4504206"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 xml:space="preserve">Q#16 asks participants what is their preferred media activity when they have free time: results indicate that </w:t>
      </w:r>
      <w:proofErr w:type="gramStart"/>
      <w:r>
        <w:rPr>
          <w:b/>
          <w:bCs/>
          <w:i/>
          <w:iCs/>
          <w:lang w:val="en-US"/>
        </w:rPr>
        <w:t>60-64 year old</w:t>
      </w:r>
      <w:proofErr w:type="gramEnd"/>
      <w:r>
        <w:rPr>
          <w:b/>
          <w:bCs/>
          <w:i/>
          <w:iCs/>
          <w:lang w:val="en-US"/>
        </w:rPr>
        <w:t xml:space="preserve"> individuals would significantly watch more videos or DVDs than older individuals. However, the 75+ year old individuals prefer would prefer listing to radio and watching </w:t>
      </w:r>
      <w:proofErr w:type="spellStart"/>
      <w:r>
        <w:rPr>
          <w:b/>
          <w:bCs/>
          <w:i/>
          <w:iCs/>
          <w:lang w:val="en-US"/>
        </w:rPr>
        <w:t>tv</w:t>
      </w:r>
      <w:proofErr w:type="spellEnd"/>
      <w:r>
        <w:rPr>
          <w:b/>
          <w:bCs/>
          <w:i/>
          <w:iCs/>
          <w:lang w:val="en-US"/>
        </w:rPr>
        <w:t xml:space="preserve">. </w:t>
      </w:r>
    </w:p>
    <w:p w14:paraId="16018FFD"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p>
    <w:p w14:paraId="54FD8C0A"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t>Q#18 and Q#</w:t>
      </w:r>
      <w:proofErr w:type="gramStart"/>
      <w:r>
        <w:rPr>
          <w:b/>
          <w:bCs/>
          <w:i/>
          <w:iCs/>
          <w:lang w:val="en-US"/>
        </w:rPr>
        <w:t>20  ask</w:t>
      </w:r>
      <w:proofErr w:type="gramEnd"/>
      <w:r>
        <w:rPr>
          <w:b/>
          <w:bCs/>
          <w:i/>
          <w:iCs/>
          <w:lang w:val="en-US"/>
        </w:rPr>
        <w:t xml:space="preserve"> participants which sources of information they would rely on to get some “important information (Q18, i.e. outcome of a political election) or “factual information” (Q20, i.e. historical date or economic figure): in both cases, results suggest that the 75+ year old individuals rely significantly more on </w:t>
      </w:r>
      <w:proofErr w:type="spellStart"/>
      <w:r>
        <w:rPr>
          <w:b/>
          <w:bCs/>
          <w:i/>
          <w:iCs/>
          <w:lang w:val="en-US"/>
        </w:rPr>
        <w:t>tv</w:t>
      </w:r>
      <w:proofErr w:type="spellEnd"/>
      <w:r>
        <w:rPr>
          <w:b/>
          <w:bCs/>
          <w:i/>
          <w:iCs/>
          <w:lang w:val="en-US"/>
        </w:rPr>
        <w:t xml:space="preserve"> or radio than would other age groups. </w:t>
      </w:r>
    </w:p>
    <w:p w14:paraId="1DF23F24"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716D03F1"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7E3D39C5"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021E6B" w14:paraId="2147EBE7" w14:textId="77777777">
        <w:trPr>
          <w:trHeight w:val="260"/>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E3946"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 w:val="left" w:pos="8860"/>
                <w:tab w:val="left" w:pos="8860"/>
              </w:tabs>
              <w:jc w:val="center"/>
            </w:pPr>
            <w:r>
              <w:rPr>
                <w:b/>
                <w:bCs/>
                <w:lang w:val="en-US"/>
                <w14:shadow w14:blurRad="50800" w14:dist="19050" w14:dir="2700000" w14:sx="100000" w14:sy="100000" w14:kx="0" w14:ky="0" w14:algn="tl">
                  <w14:srgbClr w14:val="000000">
                    <w14:alpha w14:val="60000"/>
                  </w14:srgbClr>
                </w14:shadow>
              </w:rPr>
              <w:t>Q1, Q28, Q29 – Correlations</w:t>
            </w:r>
          </w:p>
        </w:tc>
      </w:tr>
    </w:tbl>
    <w:p w14:paraId="5F31BC9B"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121D6F49" w14:textId="77777777" w:rsidR="00021E6B" w:rsidRDefault="00021E6B">
      <w:pPr>
        <w:pStyle w:val="NoSpacing"/>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0E43095B"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3CCAA6A0"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lang w:val="en-US"/>
        </w:rPr>
      </w:pPr>
    </w:p>
    <w:p w14:paraId="4567154D"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pPr>
      <w:r>
        <w:rPr>
          <w:noProof/>
          <w:lang w:val="en-US"/>
        </w:rPr>
        <w:drawing>
          <wp:inline distT="0" distB="0" distL="0" distR="0" wp14:anchorId="79DF4FCF" wp14:editId="0705B8DB">
            <wp:extent cx="5943600" cy="1005415"/>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0.png"/>
                    <pic:cNvPicPr>
                      <a:picLocks noChangeAspect="1"/>
                    </pic:cNvPicPr>
                  </pic:nvPicPr>
                  <pic:blipFill>
                    <a:blip r:embed="rId27">
                      <a:extLst/>
                    </a:blip>
                    <a:stretch>
                      <a:fillRect/>
                    </a:stretch>
                  </pic:blipFill>
                  <pic:spPr>
                    <a:xfrm>
                      <a:off x="0" y="0"/>
                      <a:ext cx="5943600" cy="1005415"/>
                    </a:xfrm>
                    <a:prstGeom prst="rect">
                      <a:avLst/>
                    </a:prstGeom>
                    <a:ln w="12700" cap="flat">
                      <a:noFill/>
                      <a:miter lim="400000"/>
                    </a:ln>
                    <a:effectLst/>
                  </pic:spPr>
                </pic:pic>
              </a:graphicData>
            </a:graphic>
          </wp:inline>
        </w:drawing>
      </w:r>
    </w:p>
    <w:p w14:paraId="1EA90843" w14:textId="77777777" w:rsidR="00021E6B" w:rsidRDefault="00C875A4">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r>
        <w:rPr>
          <w:b/>
          <w:bCs/>
          <w:i/>
          <w:iCs/>
          <w:lang w:val="en-US"/>
        </w:rPr>
        <w:lastRenderedPageBreak/>
        <w:t xml:space="preserve">-The more positive is the subjective assessment of heath and global life satisfaction, the less individuals watch TV, on a TV set. Other TV settings are not significantly correlated with these two variables. </w:t>
      </w:r>
    </w:p>
    <w:p w14:paraId="55AEAB49" w14:textId="77777777" w:rsidR="00021E6B" w:rsidRDefault="00021E6B">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rPr>
          <w:b/>
          <w:bCs/>
          <w:i/>
          <w:iCs/>
          <w:lang w:val="en-US"/>
        </w:rPr>
      </w:pPr>
    </w:p>
    <w:p w14:paraId="28EDEB29" w14:textId="77777777" w:rsidR="00021E6B" w:rsidRDefault="00021E6B">
      <w:pPr>
        <w:pStyle w:val="BodyA"/>
      </w:pPr>
    </w:p>
    <w:p w14:paraId="4A633CFD" w14:textId="77777777" w:rsidR="00021E6B" w:rsidRDefault="00021E6B">
      <w:pPr>
        <w:pStyle w:val="BodyA"/>
      </w:pPr>
    </w:p>
    <w:p w14:paraId="5C279F7C" w14:textId="77777777" w:rsidR="00021E6B" w:rsidRDefault="00021E6B">
      <w:pPr>
        <w:pStyle w:val="BodyA"/>
      </w:pPr>
    </w:p>
    <w:p w14:paraId="771E2F43" w14:textId="77777777" w:rsidR="00021E6B" w:rsidRDefault="00021E6B">
      <w:pPr>
        <w:pStyle w:val="BodyA"/>
      </w:pPr>
    </w:p>
    <w:p w14:paraId="5C0807A9" w14:textId="77777777" w:rsidR="00021E6B" w:rsidRDefault="00021E6B">
      <w:pPr>
        <w:pStyle w:val="ListParagraph"/>
        <w:ind w:left="0"/>
      </w:pPr>
    </w:p>
    <w:p w14:paraId="3B1AD502" w14:textId="77777777" w:rsidR="00021E6B" w:rsidRDefault="00021E6B">
      <w:pPr>
        <w:pStyle w:val="BodyA"/>
      </w:pPr>
    </w:p>
    <w:p w14:paraId="0F6A75D0" w14:textId="77777777" w:rsidR="00021E6B" w:rsidRDefault="00021E6B">
      <w:pPr>
        <w:pStyle w:val="BodyA"/>
      </w:pPr>
    </w:p>
    <w:p w14:paraId="02365600" w14:textId="77777777" w:rsidR="00021E6B" w:rsidRDefault="00021E6B">
      <w:pPr>
        <w:pStyle w:val="BodyA"/>
      </w:pPr>
    </w:p>
    <w:p w14:paraId="798E02A2" w14:textId="77777777" w:rsidR="00021E6B" w:rsidRDefault="00021E6B">
      <w:pPr>
        <w:pStyle w:val="BodyA"/>
      </w:pPr>
    </w:p>
    <w:sectPr w:rsidR="00021E6B">
      <w:headerReference w:type="default" r:id="rId28"/>
      <w:footerReference w:type="default" r:id="rId2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9A372" w14:textId="77777777" w:rsidR="0009441A" w:rsidRDefault="0009441A">
      <w:r>
        <w:separator/>
      </w:r>
    </w:p>
  </w:endnote>
  <w:endnote w:type="continuationSeparator" w:id="0">
    <w:p w14:paraId="5CF57929" w14:textId="77777777" w:rsidR="0009441A" w:rsidRDefault="0009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975B" w14:textId="77777777" w:rsidR="00021E6B" w:rsidRDefault="00021E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A2F9" w14:textId="77777777" w:rsidR="0009441A" w:rsidRDefault="0009441A">
      <w:r>
        <w:separator/>
      </w:r>
    </w:p>
  </w:footnote>
  <w:footnote w:type="continuationSeparator" w:id="0">
    <w:p w14:paraId="7A5BE989" w14:textId="77777777" w:rsidR="0009441A" w:rsidRDefault="0009441A">
      <w:r>
        <w:continuationSeparator/>
      </w:r>
    </w:p>
  </w:footnote>
  <w:footnote w:type="continuationNotice" w:id="1">
    <w:p w14:paraId="35C410C1" w14:textId="77777777" w:rsidR="0009441A" w:rsidRDefault="0009441A"/>
  </w:footnote>
  <w:footnote w:id="2">
    <w:p w14:paraId="19477B84" w14:textId="77777777" w:rsidR="00EB2FF2" w:rsidRDefault="00EB2FF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A550" w14:textId="77777777" w:rsidR="00021E6B" w:rsidRDefault="00021E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EBE"/>
    <w:multiLevelType w:val="multilevel"/>
    <w:tmpl w:val="C53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7742F"/>
    <w:multiLevelType w:val="hybridMultilevel"/>
    <w:tmpl w:val="FFFFFFFF"/>
    <w:styleLink w:val="ImportedStyle1"/>
    <w:lvl w:ilvl="0" w:tplc="EECEE17A">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2CF2FC">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590DA2E">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5A713E">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E8E690">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EC2810">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44A333C">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9ABBB4">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E63C7C">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24C150D"/>
    <w:multiLevelType w:val="hybridMultilevel"/>
    <w:tmpl w:val="FFFFFFFF"/>
    <w:styleLink w:val="ImportedStyle2"/>
    <w:lvl w:ilvl="0" w:tplc="A552B54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16" w:hanging="14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6E0AE0">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44C91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9CEA7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8860"/>
        </w:tabs>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442B76">
      <w:start w:val="1"/>
      <w:numFmt w:val="bullet"/>
      <w:lvlText w:val="o"/>
      <w:lvlJc w:val="left"/>
      <w:pPr>
        <w:tabs>
          <w:tab w:val="left" w:pos="1416"/>
          <w:tab w:val="left" w:pos="2124"/>
          <w:tab w:val="left" w:pos="3540"/>
          <w:tab w:val="left" w:pos="4248"/>
          <w:tab w:val="left" w:pos="4956"/>
          <w:tab w:val="left" w:pos="5664"/>
          <w:tab w:val="left" w:pos="6372"/>
          <w:tab w:val="left" w:pos="7080"/>
          <w:tab w:val="left" w:pos="7788"/>
          <w:tab w:val="left" w:pos="8496"/>
          <w:tab w:val="left" w:pos="8860"/>
        </w:tabs>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401AB4">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8860"/>
        </w:tabs>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A8F8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3889C2">
      <w:start w:val="1"/>
      <w:numFmt w:val="bullet"/>
      <w:lvlText w:val="o"/>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3C2402">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8860"/>
        </w:tabs>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47A2668"/>
    <w:multiLevelType w:val="hybridMultilevel"/>
    <w:tmpl w:val="FFFFFFFF"/>
    <w:numStyleLink w:val="ImportedStyle1"/>
  </w:abstractNum>
  <w:abstractNum w:abstractNumId="4">
    <w:nsid w:val="61C520D2"/>
    <w:multiLevelType w:val="hybridMultilevel"/>
    <w:tmpl w:val="FFFFFFFF"/>
    <w:numStyleLink w:val="ImportedStyle2"/>
  </w:abstractNum>
  <w:abstractNum w:abstractNumId="5">
    <w:nsid w:val="79335CBD"/>
    <w:multiLevelType w:val="hybridMultilevel"/>
    <w:tmpl w:val="1BB8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lvl w:ilvl="0" w:tplc="453A39E6">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B68A5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88CFF0">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981AAE">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D2A156">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B62762">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C211BE">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4EC6C6">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BA31E0">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6B"/>
    <w:rsid w:val="00021E6B"/>
    <w:rsid w:val="00066D4C"/>
    <w:rsid w:val="0009441A"/>
    <w:rsid w:val="000A0538"/>
    <w:rsid w:val="000A39FA"/>
    <w:rsid w:val="00121D19"/>
    <w:rsid w:val="00127579"/>
    <w:rsid w:val="00163F3B"/>
    <w:rsid w:val="00200823"/>
    <w:rsid w:val="00205F9E"/>
    <w:rsid w:val="002232E8"/>
    <w:rsid w:val="002E541A"/>
    <w:rsid w:val="003F1EF5"/>
    <w:rsid w:val="00455C08"/>
    <w:rsid w:val="00461396"/>
    <w:rsid w:val="00467330"/>
    <w:rsid w:val="004742BD"/>
    <w:rsid w:val="006048EF"/>
    <w:rsid w:val="00606FD1"/>
    <w:rsid w:val="00681720"/>
    <w:rsid w:val="006A22AC"/>
    <w:rsid w:val="00742961"/>
    <w:rsid w:val="007B5E40"/>
    <w:rsid w:val="008174DC"/>
    <w:rsid w:val="00842737"/>
    <w:rsid w:val="008444BB"/>
    <w:rsid w:val="008610C4"/>
    <w:rsid w:val="008649BC"/>
    <w:rsid w:val="00871356"/>
    <w:rsid w:val="008B1834"/>
    <w:rsid w:val="008C532E"/>
    <w:rsid w:val="00910EFB"/>
    <w:rsid w:val="009B12C7"/>
    <w:rsid w:val="009F1601"/>
    <w:rsid w:val="009F63E0"/>
    <w:rsid w:val="00A0605C"/>
    <w:rsid w:val="00A12D1F"/>
    <w:rsid w:val="00A94B66"/>
    <w:rsid w:val="00AD2E04"/>
    <w:rsid w:val="00C14BA8"/>
    <w:rsid w:val="00C63A2D"/>
    <w:rsid w:val="00C771BC"/>
    <w:rsid w:val="00C875A4"/>
    <w:rsid w:val="00CB6313"/>
    <w:rsid w:val="00DA1CC3"/>
    <w:rsid w:val="00DB0D88"/>
    <w:rsid w:val="00E115B8"/>
    <w:rsid w:val="00E32094"/>
    <w:rsid w:val="00E900FF"/>
    <w:rsid w:val="00EB2FF2"/>
    <w:rsid w:val="00EB451A"/>
    <w:rsid w:val="00EE1830"/>
    <w:rsid w:val="00FD1B2F"/>
    <w:rsid w:val="00FE4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B9BF6F"/>
  <w15:docId w15:val="{500D2723-4DA4-D144-9FCB-150046D6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paragraph" w:styleId="Heading3">
    <w:name w:val="heading 3"/>
    <w:basedOn w:val="Normal"/>
    <w:link w:val="Heading3Char"/>
    <w:uiPriority w:val="9"/>
    <w:qFormat/>
    <w:rsid w:val="00EB45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jc w:val="both"/>
    </w:pPr>
    <w:rPr>
      <w:rFonts w:ascii="Calibri" w:eastAsia="Calibri" w:hAnsi="Calibri" w:cs="Calibri"/>
      <w:color w:val="000000"/>
      <w:u w:color="000000"/>
      <w:lang w:val="en-US"/>
    </w:rPr>
  </w:style>
  <w:style w:type="paragraph" w:customStyle="1" w:styleId="BodyB">
    <w:name w:val="Body B"/>
    <w:rPr>
      <w:rFonts w:eastAsia="Times New Roman"/>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NoSpacing">
    <w:name w:val="No Spacing"/>
    <w:rPr>
      <w:rFonts w:ascii="Calibri" w:eastAsia="Calibri" w:hAnsi="Calibri" w:cs="Calibri"/>
      <w:color w:val="000000"/>
      <w:sz w:val="22"/>
      <w:szCs w:val="22"/>
      <w:u w:color="000000"/>
      <w:lang w:val="fr-FR"/>
    </w:rPr>
  </w:style>
  <w:style w:type="numbering" w:customStyle="1" w:styleId="ImportedStyle2">
    <w:name w:val="Imported Style 2"/>
    <w:pPr>
      <w:numPr>
        <w:numId w:val="4"/>
      </w:numPr>
    </w:pPr>
  </w:style>
  <w:style w:type="paragraph" w:customStyle="1" w:styleId="Default">
    <w:name w:val="Default"/>
    <w:rPr>
      <w:rFonts w:ascii="Helvetica" w:hAnsi="Helvetica" w:cs="Arial Unicode MS"/>
      <w:color w:val="000000"/>
      <w:sz w:val="22"/>
      <w:szCs w:val="22"/>
      <w:u w:color="000000"/>
      <w:lang w:val="en-US"/>
    </w:rPr>
  </w:style>
  <w:style w:type="paragraph" w:styleId="ListParagraph">
    <w:name w:val="List Paragraph"/>
    <w:pPr>
      <w:spacing w:after="200" w:line="276" w:lineRule="auto"/>
      <w:ind w:left="720"/>
      <w:jc w:val="both"/>
    </w:pPr>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rsid w:val="00EB451A"/>
    <w:rPr>
      <w:b/>
      <w:bCs/>
      <w:sz w:val="27"/>
      <w:szCs w:val="27"/>
      <w:bdr w:val="none" w:sz="0" w:space="0" w:color="auto"/>
      <w:lang w:val="en-US"/>
    </w:rPr>
  </w:style>
  <w:style w:type="character" w:styleId="Emphasis">
    <w:name w:val="Emphasis"/>
    <w:basedOn w:val="DefaultParagraphFont"/>
    <w:uiPriority w:val="20"/>
    <w:qFormat/>
    <w:rsid w:val="00EB4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72505">
      <w:bodyDiv w:val="1"/>
      <w:marLeft w:val="0"/>
      <w:marRight w:val="0"/>
      <w:marTop w:val="0"/>
      <w:marBottom w:val="0"/>
      <w:divBdr>
        <w:top w:val="none" w:sz="0" w:space="0" w:color="auto"/>
        <w:left w:val="none" w:sz="0" w:space="0" w:color="auto"/>
        <w:bottom w:val="none" w:sz="0" w:space="0" w:color="auto"/>
        <w:right w:val="none" w:sz="0" w:space="0" w:color="auto"/>
      </w:divBdr>
    </w:div>
    <w:div w:id="1765228607">
      <w:bodyDiv w:val="1"/>
      <w:marLeft w:val="0"/>
      <w:marRight w:val="0"/>
      <w:marTop w:val="0"/>
      <w:marBottom w:val="0"/>
      <w:divBdr>
        <w:top w:val="none" w:sz="0" w:space="0" w:color="auto"/>
        <w:left w:val="none" w:sz="0" w:space="0" w:color="auto"/>
        <w:bottom w:val="none" w:sz="0" w:space="0" w:color="auto"/>
        <w:right w:val="none" w:sz="0" w:space="0" w:color="auto"/>
      </w:divBdr>
    </w:div>
    <w:div w:id="1999456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bc.ca/news/business/bell-whistleblower-reveals-high-pressure-sales-1.440408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3568</Words>
  <Characters>20339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 Lafontaine</cp:lastModifiedBy>
  <cp:revision>2</cp:revision>
  <dcterms:created xsi:type="dcterms:W3CDTF">2017-12-18T21:21:00Z</dcterms:created>
  <dcterms:modified xsi:type="dcterms:W3CDTF">2017-12-18T21:21:00Z</dcterms:modified>
</cp:coreProperties>
</file>